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eastAsia="黑体"/>
          <w:sz w:val="36"/>
          <w:szCs w:val="36"/>
        </w:rPr>
      </w:pPr>
      <w:r>
        <w:rPr>
          <w:rFonts w:hint="eastAsia" w:eastAsia="黑体"/>
          <w:sz w:val="36"/>
          <w:szCs w:val="36"/>
        </w:rPr>
        <w:t xml:space="preserve"> 附件1</w:t>
      </w:r>
    </w:p>
    <w:p>
      <w:pPr>
        <w:spacing w:line="480" w:lineRule="exact"/>
        <w:jc w:val="center"/>
        <w:rPr>
          <w:sz w:val="24"/>
        </w:rPr>
      </w:pPr>
      <w:r>
        <w:rPr>
          <w:rFonts w:hint="eastAsia" w:eastAsia="黑体"/>
          <w:sz w:val="36"/>
          <w:szCs w:val="36"/>
        </w:rPr>
        <w:t>哈尔滨理工</w:t>
      </w:r>
      <w:r>
        <w:rPr>
          <w:rFonts w:eastAsia="黑体"/>
          <w:sz w:val="36"/>
          <w:szCs w:val="36"/>
        </w:rPr>
        <w:t>大学本科教育教学审核评估</w:t>
      </w:r>
      <w:r>
        <w:rPr>
          <w:rFonts w:hint="eastAsia" w:eastAsia="黑体"/>
          <w:sz w:val="36"/>
          <w:szCs w:val="36"/>
        </w:rPr>
        <w:t>工作推进</w:t>
      </w:r>
      <w:r>
        <w:rPr>
          <w:rFonts w:eastAsia="黑体"/>
          <w:sz w:val="36"/>
          <w:szCs w:val="36"/>
        </w:rPr>
        <w:t>任务分解表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460"/>
        <w:gridCol w:w="4070"/>
        <w:gridCol w:w="6033"/>
        <w:gridCol w:w="4119"/>
        <w:gridCol w:w="1142"/>
        <w:gridCol w:w="1219"/>
        <w:gridCol w:w="89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序号</w:t>
            </w:r>
          </w:p>
        </w:tc>
        <w:tc>
          <w:tcPr>
            <w:tcW w:w="766"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主要任务</w:t>
            </w:r>
          </w:p>
        </w:tc>
        <w:tc>
          <w:tcPr>
            <w:tcW w:w="90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预期成效</w:t>
            </w:r>
          </w:p>
        </w:tc>
        <w:tc>
          <w:tcPr>
            <w:tcW w:w="1336"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自评材料重点</w:t>
            </w:r>
          </w:p>
        </w:tc>
        <w:tc>
          <w:tcPr>
            <w:tcW w:w="912"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支撑（佐证）材料</w:t>
            </w:r>
          </w:p>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（原始、真实、有效）</w:t>
            </w:r>
          </w:p>
        </w:tc>
        <w:tc>
          <w:tcPr>
            <w:tcW w:w="253"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工作推进组</w:t>
            </w:r>
          </w:p>
        </w:tc>
        <w:tc>
          <w:tcPr>
            <w:tcW w:w="270"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分管领导</w:t>
            </w:r>
          </w:p>
        </w:tc>
        <w:tc>
          <w:tcPr>
            <w:tcW w:w="197"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责任单位</w:t>
            </w:r>
          </w:p>
        </w:tc>
        <w:tc>
          <w:tcPr>
            <w:tcW w:w="193"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71" w:type="pct"/>
            <w:vAlign w:val="center"/>
          </w:tcPr>
          <w:p>
            <w:pPr>
              <w:widowControl/>
              <w:spacing w:line="300" w:lineRule="exact"/>
              <w:jc w:val="center"/>
              <w:rPr>
                <w:rFonts w:ascii="Times New Roman" w:hAnsi="Times New Roman" w:cs="Times New Roman"/>
                <w:kern w:val="0"/>
                <w:sz w:val="24"/>
              </w:rPr>
            </w:pPr>
            <w:r>
              <w:rPr>
                <w:rFonts w:ascii="Times New Roman" w:hAnsi="Times New Roman" w:cs="Times New Roman"/>
                <w:kern w:val="0"/>
                <w:sz w:val="24"/>
              </w:rPr>
              <w:t>1</w:t>
            </w:r>
          </w:p>
        </w:tc>
        <w:tc>
          <w:tcPr>
            <w:tcW w:w="766" w:type="pct"/>
            <w:vAlign w:val="center"/>
          </w:tcPr>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1.</w:t>
            </w:r>
            <w:r>
              <w:rPr>
                <w:rFonts w:ascii="Times New Roman" w:hAnsi="Times New Roman" w:cs="Times New Roman"/>
                <w:kern w:val="0"/>
                <w:sz w:val="22"/>
                <w:szCs w:val="22"/>
              </w:rPr>
              <w:t>坚持党的全面领导，依法治教、依法办学、依法治校，围绕国家战略需求培养担当民族复兴大任的时代新人；</w:t>
            </w:r>
          </w:p>
          <w:p>
            <w:pPr>
              <w:widowControl/>
              <w:spacing w:line="300" w:lineRule="exact"/>
              <w:rPr>
                <w:rFonts w:ascii="Times New Roman" w:hAnsi="Times New Roman" w:cs="Times New Roman"/>
                <w:kern w:val="0"/>
                <w:sz w:val="22"/>
                <w:szCs w:val="22"/>
                <w:lang w:val="zh-TW"/>
              </w:rPr>
            </w:pPr>
            <w:r>
              <w:rPr>
                <w:rFonts w:ascii="Times New Roman" w:hAnsi="Times New Roman" w:cs="Times New Roman"/>
                <w:kern w:val="0"/>
                <w:sz w:val="22"/>
                <w:szCs w:val="22"/>
              </w:rPr>
              <w:t>2</w:t>
            </w:r>
            <w:r>
              <w:rPr>
                <w:rFonts w:hint="eastAsia" w:ascii="Times New Roman" w:hAnsi="Times New Roman" w:cs="Times New Roman"/>
                <w:kern w:val="0"/>
                <w:sz w:val="22"/>
                <w:szCs w:val="22"/>
              </w:rPr>
              <w:t>.</w:t>
            </w:r>
            <w:r>
              <w:rPr>
                <w:rFonts w:ascii="Times New Roman" w:hAnsi="Times New Roman" w:cs="Times New Roman"/>
                <w:kern w:val="0"/>
                <w:sz w:val="22"/>
                <w:szCs w:val="22"/>
              </w:rPr>
              <w:t>坚持社会主义办学方向、贯彻落</w:t>
            </w:r>
            <w:r>
              <w:rPr>
                <w:rFonts w:ascii="Times New Roman" w:hAnsi="Times New Roman" w:cs="Times New Roman"/>
                <w:kern w:val="0"/>
                <w:sz w:val="22"/>
                <w:szCs w:val="22"/>
                <w:lang w:val="zh-TW"/>
              </w:rPr>
              <w:t>实立德树人根本任务、把立德树人成效作为检验学校一切工作</w:t>
            </w:r>
            <w:r>
              <w:rPr>
                <w:rFonts w:hint="eastAsia" w:ascii="Times New Roman" w:hAnsi="Times New Roman" w:cs="Times New Roman"/>
                <w:kern w:val="0"/>
                <w:sz w:val="22"/>
                <w:szCs w:val="22"/>
              </w:rPr>
              <w:t>的</w:t>
            </w:r>
            <w:r>
              <w:rPr>
                <w:rFonts w:ascii="Times New Roman" w:hAnsi="Times New Roman" w:cs="Times New Roman"/>
                <w:kern w:val="0"/>
                <w:sz w:val="22"/>
                <w:szCs w:val="22"/>
                <w:lang w:val="zh-TW"/>
              </w:rPr>
              <w:t>根本标准，学校推进习近平新时代中国特色社会主义思想和党的二十大精神进课程进教材进头脑及开设《理解当代中国》系列课程情况；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w:t>
            </w:r>
            <w:r>
              <w:rPr>
                <w:rFonts w:ascii="Times New Roman" w:hAnsi="Times New Roman" w:cs="Times New Roman"/>
                <w:kern w:val="0"/>
                <w:sz w:val="22"/>
                <w:szCs w:val="22"/>
                <w:lang w:val="zh-TW"/>
              </w:rPr>
              <w:t>学校各职能部门应主</w:t>
            </w:r>
            <w:r>
              <w:rPr>
                <w:rFonts w:ascii="Times New Roman" w:hAnsi="Times New Roman" w:cs="Times New Roman"/>
                <w:kern w:val="0"/>
                <w:sz w:val="22"/>
                <w:szCs w:val="22"/>
              </w:rPr>
              <w:t>动服务本科教育教学工作，本科教育教学工作成为学校年度考核的重要指标。</w:t>
            </w:r>
          </w:p>
          <w:p>
            <w:pPr>
              <w:widowControl/>
              <w:spacing w:line="300" w:lineRule="exact"/>
              <w:rPr>
                <w:rFonts w:ascii="Times New Roman" w:hAnsi="Times New Roman" w:cs="Times New Roman"/>
                <w:kern w:val="0"/>
                <w:sz w:val="22"/>
                <w:szCs w:val="22"/>
              </w:rPr>
            </w:pP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w:t>
            </w:r>
            <w:r>
              <w:rPr>
                <w:rFonts w:hint="eastAsia" w:ascii="Times New Roman" w:hAnsi="Times New Roman" w:cs="Times New Roman"/>
                <w:kern w:val="0"/>
                <w:sz w:val="22"/>
                <w:szCs w:val="22"/>
              </w:rPr>
              <w:t>.</w:t>
            </w:r>
            <w:r>
              <w:rPr>
                <w:rFonts w:ascii="Times New Roman" w:hAnsi="Times New Roman" w:cs="Times New Roman"/>
                <w:kern w:val="0"/>
                <w:sz w:val="22"/>
                <w:szCs w:val="22"/>
              </w:rPr>
              <w:t>学校在坚持党的全面领导，依法治教、依法办学、依法治校，围绕国家战略需求培养担当民族复兴大任的时代新人方面举措与成效（1.1.1）；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w:t>
            </w:r>
            <w:r>
              <w:rPr>
                <w:rFonts w:hint="eastAsia" w:ascii="Times New Roman" w:hAnsi="Times New Roman" w:cs="Times New Roman"/>
                <w:kern w:val="0"/>
                <w:sz w:val="22"/>
                <w:szCs w:val="22"/>
              </w:rPr>
              <w:t>.</w:t>
            </w:r>
            <w:r>
              <w:rPr>
                <w:rFonts w:ascii="Times New Roman" w:hAnsi="Times New Roman" w:cs="Times New Roman"/>
                <w:kern w:val="0"/>
                <w:sz w:val="22"/>
                <w:szCs w:val="22"/>
              </w:rPr>
              <w:t>学校在坚持社会主义办学方向、贯彻落实立德树人根本任务、</w:t>
            </w:r>
            <w:r>
              <w:rPr>
                <w:rFonts w:ascii="Times New Roman" w:hAnsi="Times New Roman" w:cs="Times New Roman"/>
                <w:kern w:val="0"/>
                <w:sz w:val="22"/>
                <w:szCs w:val="22"/>
                <w:lang w:val="zh-TW"/>
              </w:rPr>
              <w:t>把立德树人成效作为检验学校一切工作</w:t>
            </w:r>
            <w:r>
              <w:rPr>
                <w:rFonts w:hint="eastAsia" w:ascii="Times New Roman" w:hAnsi="Times New Roman" w:cs="Times New Roman"/>
                <w:kern w:val="0"/>
                <w:sz w:val="22"/>
                <w:szCs w:val="22"/>
              </w:rPr>
              <w:t>的</w:t>
            </w:r>
            <w:r>
              <w:rPr>
                <w:rFonts w:ascii="Times New Roman" w:hAnsi="Times New Roman" w:cs="Times New Roman"/>
                <w:kern w:val="0"/>
                <w:sz w:val="22"/>
                <w:szCs w:val="22"/>
                <w:lang w:val="zh-TW"/>
              </w:rPr>
              <w:t>根本标准，</w:t>
            </w:r>
            <w:r>
              <w:rPr>
                <w:rFonts w:hint="eastAsia" w:ascii="Times New Roman" w:hAnsi="Times New Roman" w:cs="Times New Roman"/>
                <w:kern w:val="0"/>
                <w:sz w:val="22"/>
                <w:szCs w:val="22"/>
              </w:rPr>
              <w:t>习近平新时代中国</w:t>
            </w:r>
            <w:r>
              <w:rPr>
                <w:rFonts w:ascii="Times New Roman" w:hAnsi="Times New Roman" w:cs="Times New Roman"/>
                <w:kern w:val="0"/>
                <w:sz w:val="22"/>
                <w:szCs w:val="22"/>
              </w:rPr>
              <w:t>特色社会主义思想和党的二十大精神进课程进教材进头脑及开设《理解当代中国》系列课程方面举措与成效（1.1.2）；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3.学校各职能部门在服务本科教育教学工作方面取得成效，本科教育教学工作在学校年度考核中的比重不断增加（1.3.4）。</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1.1.1①坚持以习近平新时代中国特色社会主义思想为指导，坚持党的全面领导</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学校章程：需明确党的领导</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学校层面</w:t>
            </w:r>
            <w:r>
              <w:rPr>
                <w:rFonts w:hint="eastAsia" w:ascii="Times New Roman" w:hAnsi="Times New Roman" w:cs="Times New Roman"/>
                <w:kern w:val="0"/>
                <w:sz w:val="22"/>
                <w:szCs w:val="22"/>
              </w:rPr>
              <w:t>：</w:t>
            </w:r>
            <w:r>
              <w:rPr>
                <w:rFonts w:ascii="Times New Roman" w:hAnsi="Times New Roman" w:cs="Times New Roman"/>
                <w:kern w:val="0"/>
                <w:sz w:val="22"/>
                <w:szCs w:val="22"/>
              </w:rPr>
              <w:t>党委领导下的校长负责制落实情况，学校</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三重一大</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执行情况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院部层面：党政联席会议、党政问责制度是否健全</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基层教学组织：双带头人（党建、业务）制度是否落实，双带头人的双高双强选任标准</w:t>
            </w:r>
            <w:r>
              <w:rPr>
                <w:rFonts w:hint="eastAsia" w:ascii="Times New Roman" w:hAnsi="Times New Roman" w:cs="Times New Roman"/>
                <w:kern w:val="0"/>
                <w:sz w:val="22"/>
                <w:szCs w:val="22"/>
              </w:rPr>
              <w:t>，</w:t>
            </w:r>
            <w:r>
              <w:rPr>
                <w:rFonts w:ascii="Times New Roman" w:hAnsi="Times New Roman" w:cs="Times New Roman"/>
                <w:kern w:val="0"/>
                <w:sz w:val="22"/>
                <w:szCs w:val="22"/>
              </w:rPr>
              <w:t>即：教师党支部书记选拔政治素质高、师生威望高、党务能力强、业务能力强的党员教师担任；</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②全面贯彻党的教育方针，依法治教、依法办学、依法治校情况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2021年《中华人民共和国教育法》第五条</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2021年中央教育工作领导小组6号文《关于深入宣传学习贯彻党的教育方针的通知》</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2021年教育部《高等学校法治工作测评指标》</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2017年4月习近平总书记在全国高校思想政治工作会议上的讲话，强调了高等教育发展方向的四个服务；</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1.1.2</w:t>
            </w:r>
            <w:r>
              <w:rPr>
                <w:rFonts w:ascii="Times New Roman" w:hAnsi="Times New Roman" w:cs="Times New Roman"/>
                <w:kern w:val="0"/>
                <w:sz w:val="22"/>
                <w:szCs w:val="22"/>
                <w:lang w:val="zh-TW"/>
              </w:rPr>
              <w:t>贯彻落实立德树人根本任务，把立德树人成效作为检验学校一切工作根本标准</w:t>
            </w:r>
            <w:r>
              <w:rPr>
                <w:rFonts w:ascii="Times New Roman" w:hAnsi="Times New Roman" w:cs="Times New Roman"/>
                <w:kern w:val="0"/>
                <w:sz w:val="22"/>
                <w:szCs w:val="22"/>
              </w:rPr>
              <w:t>的举措和成效，学校推进习近平新时代中国特色社会主义思想和党的二十大精神进课程进教材进头脑及开设《理解当代中国》系列课程情况</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1.3.4各职能部门落实</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以本为本</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，围绕教学中心地位开展服务工作情况、年度考核情况，本科教学工作在院部、教师年度考核中所占比重情况</w:t>
            </w:r>
            <w:r>
              <w:rPr>
                <w:rFonts w:hint="eastAsia" w:ascii="Times New Roman" w:hAnsi="Times New Roman" w:cs="Times New Roman"/>
                <w:kern w:val="0"/>
                <w:sz w:val="22"/>
                <w:szCs w:val="22"/>
              </w:rPr>
              <w:t>。</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1.1.1能够证明学校坚持以习近平新时代中国特色社会主义思想为指导，坚持党的全面领导的支撑材料，如学校章程，学校</w:t>
            </w:r>
            <w:r>
              <w:rPr>
                <w:rFonts w:hint="eastAsia" w:ascii="宋体" w:hAnsi="宋体" w:eastAsia="宋体" w:cs="宋体"/>
                <w:kern w:val="0"/>
                <w:sz w:val="22"/>
                <w:szCs w:val="22"/>
              </w:rPr>
              <w:t>“</w:t>
            </w:r>
            <w:r>
              <w:rPr>
                <w:rFonts w:ascii="宋体" w:hAnsi="宋体" w:eastAsia="宋体" w:cs="宋体"/>
                <w:kern w:val="0"/>
                <w:sz w:val="22"/>
                <w:szCs w:val="22"/>
              </w:rPr>
              <w:t>十四五</w:t>
            </w:r>
            <w:r>
              <w:rPr>
                <w:rFonts w:hint="eastAsia" w:ascii="宋体" w:hAnsi="宋体" w:eastAsia="宋体" w:cs="宋体"/>
                <w:kern w:val="0"/>
                <w:sz w:val="22"/>
                <w:szCs w:val="22"/>
              </w:rPr>
              <w:t>”</w:t>
            </w:r>
            <w:r>
              <w:rPr>
                <w:rFonts w:ascii="宋体" w:hAnsi="宋体" w:eastAsia="宋体" w:cs="宋体"/>
                <w:kern w:val="0"/>
                <w:sz w:val="22"/>
                <w:szCs w:val="22"/>
              </w:rPr>
              <w:t>发</w:t>
            </w:r>
            <w:r>
              <w:rPr>
                <w:rFonts w:ascii="Times New Roman" w:hAnsi="Times New Roman" w:cs="Times New Roman"/>
                <w:kern w:val="0"/>
                <w:sz w:val="22"/>
                <w:szCs w:val="22"/>
              </w:rPr>
              <w:t>展规划及规划执行情况，学校党委常委会、校长办公会会议记录或会议纪要；院部发展建设规划及规划执行情况，院部党政联席会议制度、会议记录或纪要，院部党政问责制度；基层教学组织双带头人选任办法，相关的文件、制度、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1.1.2能够证明学校坚持社会主义办学方向、贯彻落实立德树人根本任务，把立德树人成效作为检验学校一切工作根本标准的支撑材料，如学校章程，学校发展规划，相关会议记录或会议纪要，立德树人相关文件、制度及落实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1.3.4能够证明学校各职能部门服务本科教育教学工作的支撑材料，如各职能部门的工作计划和工作总结，各职能部门研究服务本科教育教学工作的会议记录；年度考核文件及文件执行情况（本科教育教学工作在学校年度考核中的比重），相关的制度、文件、档案、资料、媒体报道等。</w:t>
            </w:r>
          </w:p>
        </w:tc>
        <w:tc>
          <w:tcPr>
            <w:tcW w:w="253" w:type="pct"/>
            <w:vMerge w:val="restar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办学方向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tc>
        <w:tc>
          <w:tcPr>
            <w:tcW w:w="270" w:type="pct"/>
            <w:vMerge w:val="restar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郭加利</w:t>
            </w: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党委办公室</w:t>
            </w:r>
            <w:r>
              <w:rPr>
                <w:rFonts w:hint="eastAsia" w:ascii="Times New Roman" w:hAnsi="Times New Roman" w:cs="Times New Roman"/>
                <w:kern w:val="0"/>
                <w:sz w:val="22"/>
                <w:szCs w:val="22"/>
              </w:rPr>
              <w:t xml:space="preserve"> </w:t>
            </w:r>
            <w:r>
              <w:rPr>
                <w:rFonts w:ascii="Times New Roman" w:hAnsi="Times New Roman" w:cs="Times New Roman"/>
                <w:kern w:val="0"/>
                <w:sz w:val="22"/>
                <w:szCs w:val="22"/>
              </w:rPr>
              <w:t>校长办公室</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2</w:t>
            </w:r>
          </w:p>
        </w:tc>
        <w:tc>
          <w:tcPr>
            <w:tcW w:w="766" w:type="pct"/>
            <w:vAlign w:val="center"/>
          </w:tcPr>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1.</w:t>
            </w:r>
            <w:r>
              <w:rPr>
                <w:rFonts w:ascii="Times New Roman" w:hAnsi="Times New Roman" w:cs="Times New Roman"/>
                <w:kern w:val="0"/>
                <w:sz w:val="22"/>
                <w:szCs w:val="22"/>
              </w:rPr>
              <w:t>多措并举，把习近平总书记关于教育的重要论述作为核心培训课程，把《习近平总书记教育重要论述讲义》作为核心培训教材，加强思政与党务工作队伍建设。</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1.把习近平总书记关于教育的重要论述作为核心培训课程，把《习近平总书记教育重要论述讲义》作为核心培训教材，加强思政与党务工作队伍建设方面取得成效，举例说明（4.4.1）。</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4.4.1学校是否按要求把习近平总书记关于教育的重要论述作为核心培训课程，把《习近平总书记教育重要论述讲义》作为核心培训教材，广大教师是否学深悟透，并能自觉运用，学校重视并加强思政与党务工作队伍建设所采取的举措与成效。</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4.4.1能够证明把习近平总书记关于教育的重要论述作为核心培训课程，把《习近平总书记教育重要论述讲义》作为核心培训教材，加强思政与党务工作队伍建设的支撑材料，如相关的文件、制度及执行情况，相关的档案、资料、媒体报道等。</w:t>
            </w:r>
          </w:p>
        </w:tc>
        <w:tc>
          <w:tcPr>
            <w:tcW w:w="253" w:type="pct"/>
            <w:vMerge w:val="continue"/>
            <w:vAlign w:val="center"/>
          </w:tcPr>
          <w:p>
            <w:pPr>
              <w:widowControl/>
              <w:spacing w:line="300" w:lineRule="exact"/>
              <w:jc w:val="center"/>
              <w:rPr>
                <w:rFonts w:ascii="Times New Roman" w:hAnsi="Times New Roman" w:cs="Times New Roman"/>
                <w:kern w:val="0"/>
                <w:sz w:val="22"/>
                <w:szCs w:val="22"/>
              </w:rPr>
            </w:pPr>
          </w:p>
        </w:tc>
        <w:tc>
          <w:tcPr>
            <w:tcW w:w="270" w:type="pct"/>
            <w:vMerge w:val="continue"/>
            <w:vAlign w:val="center"/>
          </w:tcPr>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组织部</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1" w:type="pct"/>
            <w:vAlign w:val="center"/>
          </w:tcPr>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3-1</w:t>
            </w: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3-2</w:t>
            </w: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3-3</w:t>
            </w: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3-4</w:t>
            </w: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3-5</w:t>
            </w: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tc>
        <w:tc>
          <w:tcPr>
            <w:tcW w:w="766"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1.多措并举，加强课程思政示范课程、课程思政教学研究示范中心以及课程思政教学名师、团队、课程思政优秀教学案例的建设；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2.多措并举，贯彻</w:t>
            </w:r>
            <w:r>
              <w:rPr>
                <w:rFonts w:hint="eastAsia" w:ascii="宋体" w:hAnsi="宋体" w:eastAsia="宋体" w:cs="宋体"/>
                <w:kern w:val="0"/>
                <w:sz w:val="22"/>
                <w:szCs w:val="22"/>
              </w:rPr>
              <w:t>“</w:t>
            </w:r>
            <w:r>
              <w:rPr>
                <w:rFonts w:ascii="宋体" w:hAnsi="宋体" w:eastAsia="宋体" w:cs="宋体"/>
                <w:kern w:val="0"/>
                <w:sz w:val="22"/>
                <w:szCs w:val="22"/>
              </w:rPr>
              <w:t>以本为本</w:t>
            </w:r>
            <w:r>
              <w:rPr>
                <w:rFonts w:hint="eastAsia" w:ascii="宋体" w:hAnsi="宋体" w:eastAsia="宋体" w:cs="宋体"/>
                <w:kern w:val="0"/>
                <w:sz w:val="22"/>
                <w:szCs w:val="22"/>
              </w:rPr>
              <w:t>”</w:t>
            </w:r>
            <w:r>
              <w:rPr>
                <w:rFonts w:ascii="Times New Roman" w:hAnsi="Times New Roman" w:cs="Times New Roman"/>
                <w:kern w:val="0"/>
                <w:sz w:val="22"/>
                <w:szCs w:val="22"/>
              </w:rPr>
              <w:t>落实情况，本科教育基础地位和人才培养中心地位落实情况，高质量本科教育体系建设情况，党委重视、校长主抓、院长落实的本科教育良好氛围形成情况，学校开展教育教学思想大讨论情况及成效；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3.多措并举，贯彻落实</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四个回归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的办学理念，在推进学生刻苦读书学习、教师潜心教书育人、学校倾心培养社会主义建设者和接班人等方面采取相应举措（1.3.2）；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4.经过人才培养战略定位论证，培养目标制定应符合学校定位、适应社会经济发展需要、体现学生德智体美劳全面发展情况；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5.培养方案应符合国家专业类标准、体现产出导向理念（2.1.2）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【必选】学生毕业必须修满的公共艺术课程学分数≥2学分</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【必选】劳动教育必修课或必修课程中劳动教育模块学时总数≥32学时；</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6.培养方案应强化实践教学、突出实验实训内容的基础性和应用性、注重培养学生应用能力；</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7.经过专业结构优化调整论证，在专业设置、专业建设过程中，考虑国家需要、区域经济社会发展及产业发展对应用型人才需求，并与之契合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【必选】通过认证（评估）的专业占专业总数的比例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【可选】近三年新增专业数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【可选】近三年停招专业数；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8.多措并举，围绕产业链、创新链建立自主性、灵活性与规范性、稳定性相统一的专业设置管理体系；</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9.学校建立主辅修、微专业和双学士学位和联合学士学位培养等制度举措，促进复合型人才培养；</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10.学校强化实践育人、构建实践教学体系、推动实践教学改革</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【必选】实践教学学分占总学分（学时）比例（人文社科类专业≥15%，理工农医类专业≥25%）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【必选】国家级、省级实践教学基地（包括实验教学示范中心、虚拟仿真实验中心、临床教学培训示范中心、工程实践基地、农科教合作人才培养基地等）数；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11.学校多措并举，与企业、行业单位共建实习实训基地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【可选】与行业企业共建的实验教学中心、虚拟仿真实验教学项目和综合性实习实训基地数；</w:t>
            </w:r>
          </w:p>
          <w:p>
            <w:pPr>
              <w:widowControl/>
              <w:numPr>
                <w:ilvl w:val="0"/>
                <w:numId w:val="1"/>
              </w:num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通过制度建设，使毕业论文（设计）选题来自行业企业一线需要</w:t>
            </w:r>
            <w:r>
              <w:rPr>
                <w:rFonts w:hint="eastAsia" w:ascii="Times New Roman" w:hAnsi="Times New Roman" w:cs="Times New Roman"/>
                <w:kern w:val="0"/>
                <w:sz w:val="22"/>
                <w:szCs w:val="22"/>
              </w:rPr>
              <w:t>，</w:t>
            </w:r>
            <w:r>
              <w:rPr>
                <w:rFonts w:ascii="Times New Roman" w:hAnsi="Times New Roman" w:cs="Times New Roman"/>
                <w:kern w:val="0"/>
                <w:sz w:val="22"/>
                <w:szCs w:val="22"/>
              </w:rPr>
              <w:t>实行校企</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双导师</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制</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【必选】以实验、实习、工程实践和社会调查等实践性工作为基础的毕业论文（设计）比例≥50%；</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13.多措并举，更新教育教学理念，实施</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以学为中心、以教为主导</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的课堂教学，开展以学生学习成果为导向的教学评价；</w:t>
            </w:r>
          </w:p>
          <w:p>
            <w:pPr>
              <w:widowControl/>
              <w:numPr>
                <w:ilvl w:val="0"/>
                <w:numId w:val="2"/>
              </w:num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多措并举，推进信息技术与教学过程融合、加强信息化教学环境与资源建设</w:t>
            </w:r>
            <w:r>
              <w:rPr>
                <w:rFonts w:hint="eastAsia" w:ascii="Times New Roman" w:hAnsi="Times New Roman" w:cs="Times New Roman"/>
                <w:kern w:val="0"/>
                <w:sz w:val="22"/>
                <w:szCs w:val="22"/>
              </w:rPr>
              <w:t>；</w:t>
            </w:r>
          </w:p>
          <w:p>
            <w:pPr>
              <w:widowControl/>
              <w:numPr>
                <w:ilvl w:val="0"/>
                <w:numId w:val="2"/>
              </w:num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应建立健全教材管理机构和工作制度，依照教材审核选用标准和程序选用教材；推进马工程重点教材统一使用；对教材选用工作出现负面问题要及时处理</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【必选】使用马工程重点教材课程数量与学校应使用马工程重点教材课程数量的比例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【可选】近五年公开出版的教材数；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16.积极加强与行业企业</w:t>
            </w:r>
            <w:r>
              <w:rPr>
                <w:rFonts w:hint="eastAsia" w:ascii="Times New Roman" w:hAnsi="Times New Roman" w:cs="Times New Roman"/>
                <w:kern w:val="0"/>
                <w:sz w:val="22"/>
                <w:szCs w:val="22"/>
              </w:rPr>
              <w:t>合作</w:t>
            </w:r>
            <w:r>
              <w:rPr>
                <w:rFonts w:ascii="Times New Roman" w:hAnsi="Times New Roman" w:cs="Times New Roman"/>
                <w:kern w:val="0"/>
                <w:sz w:val="22"/>
                <w:szCs w:val="22"/>
              </w:rPr>
              <w:t>，实施产教融合卓越人才培养模式</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【可选】产学合作协同育人项目数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【可选】专业特色学院、现代产业学院、卓越人才培养基地数；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17.在人才培养方案修订过程中，要加强课程体系整体设计，优化公共课、专业基础课和专业课比例结构，提高课程建设规划性、系统性</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【必选】本科生生均课程门数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【可选】与行业企业共建、共同讲授的课程数；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18.多措并举，推进新工科、新农科、新医科、新文科建设以及围绕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四新</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培育产生的专业、课程、教材情况，围绕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培育高水平教学成果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开展教研教改项目建设的举措及实施成效；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19.多措并举，推进一流专业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20.多措并举，推进一流课程</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21.多措并举，推进优秀教材</w:t>
            </w:r>
            <w:r>
              <w:rPr>
                <w:rFonts w:hint="eastAsia" w:ascii="Times New Roman" w:hAnsi="Times New Roman" w:cs="Times New Roman"/>
                <w:kern w:val="0"/>
                <w:sz w:val="22"/>
                <w:szCs w:val="22"/>
              </w:rPr>
              <w:t>建设</w:t>
            </w:r>
            <w:r>
              <w:rPr>
                <w:rFonts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22.多措并举，推进创新创业教育工作体系与创新创业教育平台建设；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23.多措并举，将创新创业教育贯穿于人才培养全过程、融入专业教育</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【可选】开设创新创业课程数及覆盖学生比例；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24.多措并举，提高学生参与创新创业教育积极性及增加创新创业教育成果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【必选】本科生参加各级各类创新创业实践活动人数及比例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互联网+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大学生创新创业大赛获奖数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【可选】省级以上学科竞赛获奖学生人次数占学生总数的比例；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25.多措并举，推进行业企业课程资源库、真实项目案例库建设并实现共享；</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26.多措并举，推进面向行业企业实际、产业发展需要的应用型教材建设</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27.多措并举，推进产业技术发展成果、产学研合作项目转化为教学资源；</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28.多措并举，提升教师教书育人能力和水平；</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29.多措并举，建立教师投入教学、教授全员为本科生授课的激励与约束机制，并得以有效实施</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【必选】主讲本科课程教授占教授总数的比例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【必选】教授主讲本科课程人均学时数；</w:t>
            </w:r>
          </w:p>
          <w:p>
            <w:pPr>
              <w:widowControl/>
              <w:numPr>
                <w:ilvl w:val="0"/>
                <w:numId w:val="3"/>
              </w:num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多措并举，推进教师特别是教授和副教授开展教学研究、参与教学改革与建设，并取得成效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【必选】教授、副教授担任专业负责人的专业占专业总数的比例</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31.多措并举，加强教师教学发展中心、基层教学组织和青年教师队伍建设；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32.多措并举，提升学生综合应用知识能力和独立解决生产、管理和服务中实际问题</w:t>
            </w:r>
            <w:r>
              <w:rPr>
                <w:rFonts w:hint="eastAsia" w:ascii="Times New Roman" w:hAnsi="Times New Roman" w:cs="Times New Roman"/>
                <w:kern w:val="0"/>
                <w:sz w:val="22"/>
                <w:szCs w:val="22"/>
              </w:rPr>
              <w:t>的</w:t>
            </w:r>
            <w:r>
              <w:rPr>
                <w:rFonts w:ascii="Times New Roman" w:hAnsi="Times New Roman" w:cs="Times New Roman"/>
                <w:kern w:val="0"/>
                <w:sz w:val="22"/>
                <w:szCs w:val="22"/>
              </w:rPr>
              <w:t>能力</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【可选】在学期间获得国家认可的职业资格证书学生数占在校生数的比例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【可选】本科生以第一作者/通讯作者在公开发行期刊发表的论文数和本科生获批国家发明专利数；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33.多措并举，积极开展通识教育、体育、美育、劳动教育</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【必选】体质测试达标率；</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34.多措并举，建立健全与学分制改革和弹性学习相适应的管理制度、辅修专业制度、双学士学位制度；</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35.多措并举，加强考试管理、严肃考试纪律、完善过程性考核与结果性考核有机结合的学业考评制度、严把考试和毕业出口关；</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36.建立学校各专业人才培养目标的达成情况分析制度，并得以贯彻执行；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37.对学校本科生源状况进行逐年分析、提出对策；</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38.多措并举，确保学校人才培养各环节有序运行；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39.多措并举，确保学校人才培养工作持续改进、持续提升</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40</w:t>
            </w:r>
            <w:r>
              <w:rPr>
                <w:rFonts w:ascii="Times New Roman" w:hAnsi="Times New Roman" w:cs="Times New Roman"/>
                <w:kern w:val="0"/>
                <w:sz w:val="22"/>
                <w:szCs w:val="22"/>
              </w:rPr>
              <w:t>.多措并举，推进适应</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互联网+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课程教学需要的智慧教室、智能实验室等教学设施和条件建设</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41</w:t>
            </w:r>
            <w:r>
              <w:rPr>
                <w:rFonts w:ascii="Times New Roman" w:hAnsi="Times New Roman" w:cs="Times New Roman"/>
                <w:kern w:val="0"/>
                <w:sz w:val="22"/>
                <w:szCs w:val="22"/>
              </w:rPr>
              <w:t>.多措并举，定期开展教师对学校教育教学工作的满意度调查工作</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42</w:t>
            </w:r>
            <w:r>
              <w:rPr>
                <w:rFonts w:ascii="Times New Roman" w:hAnsi="Times New Roman" w:cs="Times New Roman"/>
                <w:kern w:val="0"/>
                <w:sz w:val="22"/>
                <w:szCs w:val="22"/>
              </w:rPr>
              <w:t>.多措并举，提升专任教师的专业水平、教学能力、产学研用能力；</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43</w:t>
            </w:r>
            <w:r>
              <w:rPr>
                <w:rFonts w:ascii="Times New Roman" w:hAnsi="Times New Roman" w:cs="Times New Roman"/>
                <w:kern w:val="0"/>
                <w:sz w:val="22"/>
                <w:szCs w:val="22"/>
              </w:rPr>
              <w:t>.学校采取措施，提升教师教学能力、产学研用能力、信息技术应用能力，鼓励教师到业界实践、挂职和承担横向课题；</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44</w:t>
            </w:r>
            <w:r>
              <w:rPr>
                <w:rFonts w:ascii="Times New Roman" w:hAnsi="Times New Roman" w:cs="Times New Roman"/>
                <w:kern w:val="0"/>
                <w:sz w:val="22"/>
                <w:szCs w:val="22"/>
              </w:rPr>
              <w:t>.多措并举，加强双师双能型教师队伍和实践教学教师队伍管理与建设，【可选】专任教师中双师双能型教师的比例（特色应用型本科示范高校必选）。</w:t>
            </w:r>
          </w:p>
        </w:tc>
        <w:tc>
          <w:tcPr>
            <w:tcW w:w="901"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w:t>
            </w:r>
            <w:r>
              <w:rPr>
                <w:rFonts w:hint="eastAsia" w:ascii="宋体" w:hAnsi="宋体" w:eastAsia="宋体" w:cs="宋体"/>
                <w:kern w:val="0"/>
                <w:sz w:val="22"/>
                <w:szCs w:val="22"/>
              </w:rPr>
              <w:t>“课程思政”</w:t>
            </w:r>
            <w:r>
              <w:rPr>
                <w:rFonts w:ascii="Times New Roman" w:hAnsi="Times New Roman" w:cs="Times New Roman"/>
                <w:kern w:val="0"/>
                <w:sz w:val="22"/>
                <w:szCs w:val="22"/>
              </w:rPr>
              <w:t>建设取得成效，确保课程思政示范课程、课程思政教学研究示范中心以及课程思政教学名师、团队、课程思政优秀教学案例数量不断增加（1.2.3）；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w:t>
            </w:r>
            <w:r>
              <w:rPr>
                <w:rFonts w:hint="eastAsia" w:ascii="宋体" w:hAnsi="宋体" w:eastAsia="宋体" w:cs="宋体"/>
                <w:kern w:val="0"/>
                <w:sz w:val="22"/>
                <w:szCs w:val="22"/>
              </w:rPr>
              <w:t>“</w:t>
            </w:r>
            <w:r>
              <w:rPr>
                <w:rFonts w:ascii="宋体" w:hAnsi="宋体" w:eastAsia="宋体" w:cs="宋体"/>
                <w:kern w:val="0"/>
                <w:sz w:val="22"/>
                <w:szCs w:val="22"/>
              </w:rPr>
              <w:t>以本为本</w:t>
            </w:r>
            <w:r>
              <w:rPr>
                <w:rFonts w:hint="eastAsia" w:ascii="宋体" w:hAnsi="宋体" w:eastAsia="宋体" w:cs="宋体"/>
                <w:kern w:val="0"/>
                <w:sz w:val="22"/>
                <w:szCs w:val="22"/>
              </w:rPr>
              <w:t>”</w:t>
            </w:r>
            <w:r>
              <w:rPr>
                <w:rFonts w:ascii="宋体" w:hAnsi="宋体" w:eastAsia="宋体" w:cs="宋体"/>
                <w:kern w:val="0"/>
                <w:sz w:val="22"/>
                <w:szCs w:val="22"/>
              </w:rPr>
              <w:t>落</w:t>
            </w:r>
            <w:r>
              <w:rPr>
                <w:rFonts w:ascii="Times New Roman" w:hAnsi="Times New Roman" w:cs="Times New Roman"/>
                <w:kern w:val="0"/>
                <w:sz w:val="22"/>
                <w:szCs w:val="22"/>
              </w:rPr>
              <w:t>实情况，本科教育基础地位和</w:t>
            </w:r>
            <w:r>
              <w:rPr>
                <w:rFonts w:ascii="宋体" w:hAnsi="宋体" w:eastAsia="宋体" w:cs="宋体"/>
                <w:kern w:val="0"/>
                <w:sz w:val="22"/>
                <w:szCs w:val="22"/>
              </w:rPr>
              <w:t>人才</w:t>
            </w:r>
            <w:r>
              <w:rPr>
                <w:rFonts w:ascii="Times New Roman" w:hAnsi="Times New Roman" w:cs="Times New Roman"/>
                <w:kern w:val="0"/>
                <w:sz w:val="22"/>
                <w:szCs w:val="22"/>
              </w:rPr>
              <w:t>培养</w:t>
            </w:r>
            <w:r>
              <w:rPr>
                <w:rFonts w:ascii="宋体" w:hAnsi="宋体" w:eastAsia="宋体" w:cs="宋体"/>
                <w:kern w:val="0"/>
                <w:sz w:val="22"/>
                <w:szCs w:val="22"/>
              </w:rPr>
              <w:t>中心</w:t>
            </w:r>
            <w:r>
              <w:rPr>
                <w:rFonts w:ascii="Times New Roman" w:hAnsi="Times New Roman" w:cs="Times New Roman"/>
                <w:kern w:val="0"/>
                <w:sz w:val="22"/>
                <w:szCs w:val="22"/>
              </w:rPr>
              <w:t>地位落实情况，高质量本科教育体系建设情况，党委重视、校长主抓、院长落实的本科教育良好氛围形成情况，学校开展教育教学思想大讨论情况及成效（1.3.1）；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w:t>
            </w:r>
            <w:r>
              <w:rPr>
                <w:rFonts w:hint="eastAsia" w:ascii="宋体" w:hAnsi="宋体" w:eastAsia="宋体" w:cs="宋体"/>
                <w:kern w:val="0"/>
                <w:sz w:val="22"/>
                <w:szCs w:val="22"/>
              </w:rPr>
              <w:t>“</w:t>
            </w:r>
            <w:r>
              <w:rPr>
                <w:rFonts w:ascii="宋体" w:hAnsi="宋体" w:eastAsia="宋体" w:cs="宋体"/>
                <w:kern w:val="0"/>
                <w:sz w:val="22"/>
                <w:szCs w:val="22"/>
              </w:rPr>
              <w:t>四个回归</w:t>
            </w:r>
            <w:r>
              <w:rPr>
                <w:rFonts w:hint="eastAsia" w:ascii="宋体" w:hAnsi="宋体" w:eastAsia="宋体" w:cs="宋体"/>
                <w:kern w:val="0"/>
                <w:sz w:val="22"/>
                <w:szCs w:val="22"/>
              </w:rPr>
              <w:t>”</w:t>
            </w:r>
            <w:r>
              <w:rPr>
                <w:rFonts w:ascii="Times New Roman" w:hAnsi="Times New Roman" w:cs="Times New Roman"/>
                <w:kern w:val="0"/>
                <w:sz w:val="22"/>
                <w:szCs w:val="22"/>
              </w:rPr>
              <w:t>能够全面落实，在推进学生刻苦读书学习、教师潜心教书育人、学校倾心培养社会主义建设者和接班人等方面举措与成效（1.3.2）；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4.经过人才培养战略定位论证，培养目标能够符合学校定位、适应社会经济发展需要、体现学生德智体美劳全面发展情况，举例说明（2.1.1）；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5.培养方案能够符合国家专业类标准、体现产出导向理念，举例说明（2.1.2）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【必选】确保学生毕业必须修满的公共艺术课程学分数≥2学分</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【必选】确保劳动教育必修课或必修课程中劳动教育模块学时总数≥32学时；</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6.培养方案能够强化实践教学、突出实验实训内容的基础性和应用性、注重培养学生应用能力，举例说明B2.1.3（B2）；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7.经过专业结构优化调整论证，专业设置、专业建设能够与国家需要、区域经济社会发展及产业发展对应用型人才需求相契合，举例说明B2.2.1（B2）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【必选】确保通过认证（评估）的专业占专业总数的比例不断提高</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【可选】确保近三年新增专业数符合学校办学实际</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【可选】确保近三年停招专业数符合学校办学实际；</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8.能够围绕产业链、创新链建立自主性、灵活性与规范性、稳定性相统一的专业设置管理体系，列举相关文件B2.2.2（B2）；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9.学校通过主辅修、微专业和双学士学位和联合学士学位培养等举措促进复合型人才培养，列举相关文件（2.2.3）；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10.学校在强化实践育人、构建实践教学体系、推动实践教学改革方面举措与成效（2.3.1）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【必选】确保实践教学学分占总学分（学时）比例（人文社科类专业≥15%，理工农医类专业≥25%）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【必选】确保国家级、省级实践教学基地（包括实验教学示范中心、虚拟仿真实验中心、临床教学培训示范中心、工程实践基地、农科教合作人才培养基地等）数不断增加；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11.学校在与企业、行业单位共建实习实训基地方面举措与成效B2.3.2（B2）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【可选】确保与行业企业共建的实验教学中心、虚拟仿真实验教学项目和综合性实习实训基地数不断增加；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12.确保毕业论文（设计）选题来自行业企业一线需要，校企</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双导师</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制取得成效B2.3.3（B2）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【必选】确保以实验、实习、工程实践和社会调查等实践性工作为基础的毕业论文（设计）比例≥50%；</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13.学校在更新教育教学理念，实施</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以学为中心、以教为主导</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的课堂教学，开展以学生学习成果为导向的教学评价方面取得成效，举例说明（2.4.1）；</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1</w:t>
            </w:r>
            <w:r>
              <w:rPr>
                <w:rFonts w:ascii="Times New Roman" w:hAnsi="Times New Roman" w:cs="Times New Roman"/>
                <w:kern w:val="0"/>
                <w:sz w:val="22"/>
                <w:szCs w:val="22"/>
              </w:rPr>
              <w:t>4.学校在推进信息技术与教学过程融合、加强信息化教学环境与资源建设方面取得成效，举例说明（2.4.2）</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15.学校建立健全教材管理机构和工作制度，依照教材审核选用标准和程序选用教材；推进马工程重点教材统一使用；对教材选用工作出现负面问题进行及时处理，举例说明（2.4.3）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【必选】确保使用马工程重点教材课程数量与学校应使用马工程重点教材课程数量的比例逐年增加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【可选】确保近五年公开出版的教材数逐年增加；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16.产教融合卓越人才培养模式改革取得成效，举例说明K2.5.1（K2）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【可选】确保产学合作协同育人项目数逐年增加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【可选】专业特色学院、现代产业学院、卓越人才培养基地数；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17.在人才培养方案修订过程中，加强了课程体系整体设计，优化了公共课、专业基础课和专业课比例结构，提高了课程建设规划性、系统性，举例说明（K2.5.2）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【必选】确保本科生生均课程门数能满足人才培养需求</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【可选】确保与行业企业共建、共同讲授的课程数逐年增加；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18.在推进新工科、新文科建设以及围绕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四新</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培育产生的专业、课程、教材情况，围绕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培育高水平教学成果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开展教研教改项目建设的举措及实施成效（K2.5.3）；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19.一流专业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建设取得成效，举例说明（K2.5.4）；</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20.一流课程</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建设取得成效，举例说明（K2.5.5）；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21.优秀教材建设取得成效，举例说明（K2.5.6）；</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22.创新创业教育工作体系与创新创业教育平台建设取得成效，举例说明（2.6.1）；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23.在将创新创业教育贯穿于人才培养全过程、融入专业教育方面的举措与成效，举例说明（2.6.2）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【可选】开设创新创业课程数及覆盖学生比例；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24.学生参与创新创业教育积极性不断提高，创新创业教育成果逐年增加（2.6.3）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【必选】确保本科生参加各级各类创新创业实践活动人数及比例逐年增加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互联网+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大学生创新创业大赛获奖数逐年增加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【可选】确保省级以上学科竞赛获奖学生人次数占学生总数的比例逐年增加；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25.在行业企业课程资源库、真实项目案例库建设及共享方面取得成效，举例说明B3.2.1（B2）；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26.在面向行业企业实际、产业发展需要的应用型教材建设方面取得成效，举例说明B3.2.2（B2）；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27.在产业技术发展成果、产学研合作项目转化为教学资源方面取得成效，举例说明K3.2.4（K2）；</w:t>
            </w:r>
          </w:p>
          <w:p>
            <w:pPr>
              <w:widowControl/>
              <w:spacing w:line="300" w:lineRule="exact"/>
              <w:rPr>
                <w:rFonts w:ascii="Times New Roman" w:hAnsi="Times New Roman" w:cs="Times New Roman"/>
                <w:kern w:val="0"/>
                <w:sz w:val="22"/>
                <w:szCs w:val="22"/>
              </w:rPr>
            </w:pPr>
            <w:bookmarkStart w:id="0" w:name="_Hlk133841526"/>
            <w:r>
              <w:rPr>
                <w:rFonts w:ascii="Times New Roman" w:hAnsi="Times New Roman" w:cs="Times New Roman"/>
                <w:kern w:val="0"/>
                <w:sz w:val="22"/>
                <w:szCs w:val="22"/>
              </w:rPr>
              <w:t>28.在提升教师教书育人能力和水平方面</w:t>
            </w:r>
            <w:bookmarkEnd w:id="0"/>
            <w:r>
              <w:rPr>
                <w:rFonts w:ascii="Times New Roman" w:hAnsi="Times New Roman" w:cs="Times New Roman"/>
                <w:kern w:val="0"/>
                <w:sz w:val="22"/>
                <w:szCs w:val="22"/>
              </w:rPr>
              <w:t>举措与成效，举例说明（4.2.2）；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29.建立了教师投入教学、教授全员为本科生授课的激励与约束机制，得以实施，并取得成效，举例说明（4.3.1）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【必选】确保主讲本科课程教授占教授总数的比例逐年增加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【必选】确保教授主讲本科课程人均学时数逐年增加；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30.教师特别是教授和副教授开展教学研究、参与教学改革与建设方面举措与成效，举例说明（4.3.2）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【必选】确保教授、副教授担任专业负责人的专业占专业总数的比例逐年增加</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31.在加强教师教学发展中心、基层教学组织和青年教师队伍建设方面的举措与成效，举例说明（4.4.2）；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32.在提升学生综合应用知识能力和独立解决生产、管理和服务中实际问题能力方面的举措及成效，举例说明B5.2.1（B2）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【可选】确保在学期间获得国家认可的职业资格证书学生数占在校生数的比例不断增加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【可选】确保本科生以第一作者/通讯作者在公开发行期刊发表的论文数和本科生获批国家发明专利数不断增加；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33.在开展通识教育、体育、美育、劳动教育方面的措施与成效，举例说明（5.2.2）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【必选】确保体质测试达标率不断提高；</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w:t>
            </w:r>
            <w:r>
              <w:rPr>
                <w:rFonts w:hint="eastAsia" w:ascii="Times New Roman" w:hAnsi="Times New Roman" w:cs="Times New Roman"/>
                <w:kern w:val="0"/>
                <w:sz w:val="22"/>
                <w:szCs w:val="22"/>
              </w:rPr>
              <w:t>4</w:t>
            </w:r>
            <w:r>
              <w:rPr>
                <w:rFonts w:ascii="Times New Roman" w:hAnsi="Times New Roman" w:cs="Times New Roman"/>
                <w:kern w:val="0"/>
                <w:sz w:val="22"/>
                <w:szCs w:val="22"/>
              </w:rPr>
              <w:t>.在建立健全与学分制改革和弹性学习相适应的管理制度、辅修专业制度、双学士学位制度方面的措施与成效，举例说明（5.4.3）；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35.在加强考试管理、严肃考试纪律、完善过程性考核与结果性考核有机结合的学业考评制度、严把考试和毕业出口关方面的措施与成效，举例说明（6.1.2）；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36.学校各专业人才培养目标的达成情况逐年进行分析，为评估及认证相关工作提供支撑（7.1.1）；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37.确保学校本科生源质量逐年提高（7.2.1）；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38.在学校人才培养各环节有序运行方面的措施与成效，举例说明（7.4.1）；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39.在学校人才培养工作持续改进、持续提升方面的措施与成效，举例说明（7.4.2）</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40</w:t>
            </w:r>
            <w:r>
              <w:rPr>
                <w:rFonts w:ascii="Times New Roman" w:hAnsi="Times New Roman" w:cs="Times New Roman"/>
                <w:kern w:val="0"/>
                <w:sz w:val="22"/>
                <w:szCs w:val="22"/>
              </w:rPr>
              <w:t>.在适应</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互联网+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课程教学需要的智慧教室、智能实验室等教学设施和条件建设方面取得成效，举例说明（K3.2.3）</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41</w:t>
            </w:r>
            <w:r>
              <w:rPr>
                <w:rFonts w:ascii="Times New Roman" w:hAnsi="Times New Roman" w:cs="Times New Roman"/>
                <w:kern w:val="0"/>
                <w:sz w:val="22"/>
                <w:szCs w:val="22"/>
              </w:rPr>
              <w:t>.学校在教师对学校教育教学工作的满意度调查方面的措施与成效，举例说明（7.5.2）</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w:t>
            </w:r>
            <w:r>
              <w:rPr>
                <w:rFonts w:hint="eastAsia" w:ascii="Times New Roman" w:hAnsi="Times New Roman" w:cs="Times New Roman"/>
                <w:kern w:val="0"/>
                <w:sz w:val="22"/>
                <w:szCs w:val="22"/>
              </w:rPr>
              <w:t>2</w:t>
            </w:r>
            <w:r>
              <w:rPr>
                <w:rFonts w:ascii="Times New Roman" w:hAnsi="Times New Roman" w:cs="Times New Roman"/>
                <w:kern w:val="0"/>
                <w:sz w:val="22"/>
                <w:szCs w:val="22"/>
              </w:rPr>
              <w:t>.在专任教师的专业水平、教学能力、产学研用能力提升方面取得成效，举例说明B4.2.1（B2）</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43</w:t>
            </w:r>
            <w:r>
              <w:rPr>
                <w:rFonts w:ascii="Times New Roman" w:hAnsi="Times New Roman" w:cs="Times New Roman"/>
                <w:kern w:val="0"/>
                <w:sz w:val="22"/>
                <w:szCs w:val="22"/>
              </w:rPr>
              <w:t>.学校在提升教师教学能力、产学研用能力、信息技术应用能力，鼓励教师到业界实践、挂职和承担横向课题等方面举措与成效B4.4.3（B2）；</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44</w:t>
            </w:r>
            <w:r>
              <w:rPr>
                <w:rFonts w:ascii="Times New Roman" w:hAnsi="Times New Roman" w:cs="Times New Roman"/>
                <w:kern w:val="0"/>
                <w:sz w:val="22"/>
                <w:szCs w:val="22"/>
              </w:rPr>
              <w:t>.通过一系列措施，确保双师双能型教师队伍和实践教学教师队伍能够满足教学要求B4.4.4（B2）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【可选】专任教师中双师双能型教师的比例不断提高（特色应用型本科示范高校必选）。</w:t>
            </w:r>
          </w:p>
        </w:tc>
        <w:tc>
          <w:tcPr>
            <w:tcW w:w="1336" w:type="pct"/>
          </w:tcPr>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1</w:t>
            </w:r>
            <w:r>
              <w:rPr>
                <w:rFonts w:ascii="Times New Roman" w:hAnsi="Times New Roman" w:cs="Times New Roman"/>
                <w:kern w:val="0"/>
                <w:sz w:val="22"/>
                <w:szCs w:val="22"/>
              </w:rPr>
              <w:t>.2.3学校贯彻落实教育部《高等学校课程思政建设指导纲要》精神，在课程思政示范课程、课程思政教学研究示范中心以及课程思政教学名师和团队、课程思政优秀教学案例建设方面的举措及成效（包括经费投入、教师进修培养、激励机制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1.3.1党委重视、校长主抓、院长落实举措及实施成效，包括经费安排、资源配置、教师引进、职称评聘、绩效考核等方面的机制建设</w:t>
            </w:r>
            <w:r>
              <w:rPr>
                <w:rFonts w:hint="eastAsia" w:ascii="Times New Roman" w:hAnsi="Times New Roman" w:cs="Times New Roman"/>
                <w:kern w:val="0"/>
                <w:sz w:val="22"/>
                <w:szCs w:val="22"/>
              </w:rPr>
              <w:t>，</w:t>
            </w:r>
            <w:r>
              <w:rPr>
                <w:rFonts w:ascii="Times New Roman" w:hAnsi="Times New Roman" w:cs="Times New Roman"/>
                <w:kern w:val="0"/>
                <w:sz w:val="22"/>
                <w:szCs w:val="22"/>
              </w:rPr>
              <w:t>学校开展教育教学思想大讨论</w:t>
            </w:r>
            <w:r>
              <w:rPr>
                <w:rFonts w:hint="eastAsia" w:ascii="Times New Roman" w:hAnsi="Times New Roman" w:cs="Times New Roman"/>
                <w:kern w:val="0"/>
                <w:sz w:val="22"/>
                <w:szCs w:val="22"/>
              </w:rPr>
              <w:t>的相关文件、报道等</w:t>
            </w:r>
            <w:r>
              <w:rPr>
                <w:rFonts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1.3.2在引导学生求真学问</w:t>
            </w:r>
            <w:r>
              <w:rPr>
                <w:rFonts w:hint="eastAsia" w:ascii="Times New Roman" w:hAnsi="Times New Roman" w:cs="Times New Roman"/>
                <w:kern w:val="0"/>
                <w:sz w:val="22"/>
                <w:szCs w:val="22"/>
              </w:rPr>
              <w:t>，</w:t>
            </w:r>
            <w:r>
              <w:rPr>
                <w:rFonts w:ascii="Times New Roman" w:hAnsi="Times New Roman" w:cs="Times New Roman"/>
                <w:kern w:val="0"/>
                <w:sz w:val="22"/>
                <w:szCs w:val="22"/>
              </w:rPr>
              <w:t>引导教师热爱教学、倾心教学、研究教学</w:t>
            </w:r>
            <w:r>
              <w:rPr>
                <w:rFonts w:hint="eastAsia" w:ascii="Times New Roman" w:hAnsi="Times New Roman" w:cs="Times New Roman"/>
                <w:kern w:val="0"/>
                <w:sz w:val="22"/>
                <w:szCs w:val="22"/>
              </w:rPr>
              <w:t>、</w:t>
            </w:r>
            <w:r>
              <w:rPr>
                <w:rFonts w:ascii="Times New Roman" w:hAnsi="Times New Roman" w:cs="Times New Roman"/>
                <w:kern w:val="0"/>
                <w:sz w:val="22"/>
                <w:szCs w:val="22"/>
              </w:rPr>
              <w:t>潜心教书育人等方面的举措与成效；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2.1.1学校经过人才培养战略定位论证，人才培养总目标与学校的办学定位、社会经济发展需要间的契合度，人才培养方案中体现学生德智体美劳全面发展的要求情况；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2.1.2培养方案是否符合国家专业类标准要求（基本标准）、是否融入行业标准（特色标准）、是否体现学校定位（个性化标准），是否体现了产出导向理念，即根据培养目标制定毕业要求，根据毕业要求构建课程体系各指标达标情况，和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【必选】学生毕业必须修满的公共艺术课程学分数≥2学分</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【必选】劳动教育必修课或必修课程中劳动教育模块学时总数≥32学时，其中包括32学时的理论课程和为期1周的实践课程</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B2.1.3（B2）专业培养方案是否突出了学校人才培养目标特色，应用型人才培养突出强化学生的实践能力；</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B2.2.1（B2）学校经过专业结构优化调整论证，专业设置、专业建设与国家和区域经济发展需要的契合情况，专业设置和专业建设要与区域经济社会发展及产业发展对应用型人才需求相契合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通过必选定量指标达标情况、自选定量指标及常模数据比较情况，阐述学校的优势与成绩、做法与经验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【必选】通过认证（评估）的专业占专业总数的比例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【可选】近三年新增专业数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【可选】近三年停招专业数</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2.2.2（B2）学校深化本科专业供给侧改革，围绕产业链、创新链建立自主性、灵活性与规范性、稳定性相统一的专业设置管理体系，专业设置标准和专业动态调整机制情况，要阐述如何围绕国家和社会经济发展需求设置专业、建设专业、调整专业；</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2.2.3学校主辅修、微专业、双学士学位和联合学士学位培养制度建设、学生数量等情况，复合型人才培养成效；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2.3.1学校实践教学体系建设的思路与主要内容，推进实践教学改革措施及实施效果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【必选】实践教学学分占总学分（学时）比例（人文社科类专业≥15%，理工农医类专业≥25%）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【必选】国家级、省级实践教学基地</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B2.3.2（B2）学校与企业、行业单位共建实习实训基地育人机制建设，支撑本科人才培养的效果情况，要阐述学校与企业、行业单位共建实习实训基地情况、虚拟仿真实验教学项目和综合性实习实训基地情况</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B2.3.3（B2）毕业论文（设计）选题、开题、答辩等环节的全过程管理要求，对形式、内容、难度的严格监控情况及实际完成质量情况，要阐述毕业论文（设计）选题来自行业企业一线情况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【必选】以实验、实习、工程实践和社会调查等实践性工作为基础的毕业论文（设计）比例≥50%</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说明1：《工程教育专业认证标准（试行）》3.3-（1）选题-选题原则按照通用标准执行，毕业设计或毕业论文题目要以所学知识为基础，结合工程或科研实际，考虑各种制约因素，如经济、环境、职业道德等方面因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以实验、实习、工程实践和社会调查等实践性工作为基础的毕业设计题目比例原则上不低于毕业论文（设计）总题目数的50%</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2.4.1学校更新教育教学理念，推动课程教学从</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以教为中心</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以学为中心</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的转变，促进教与学、教学与科研的紧密结合情况；以学生学习成果为导向，推进教学内容和考试评价方法改革情况；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2.4.2学校推进互联网、大数据、人工智能、虚拟现实等现代技术在教学与管理中的应用，推动</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互联网+高等教育</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新形态信息技术与教学过程融合，以及加强信息化教学环境与资源建设情况</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2.4.3学校建立健全教材管理机构和工作制度</w:t>
            </w:r>
            <w:r>
              <w:rPr>
                <w:rFonts w:hint="eastAsia" w:ascii="Times New Roman" w:hAnsi="Times New Roman" w:cs="Times New Roman"/>
                <w:kern w:val="0"/>
                <w:sz w:val="22"/>
                <w:szCs w:val="22"/>
              </w:rPr>
              <w:t>情况</w:t>
            </w:r>
            <w:r>
              <w:rPr>
                <w:rFonts w:ascii="Times New Roman" w:hAnsi="Times New Roman" w:cs="Times New Roman"/>
                <w:kern w:val="0"/>
                <w:sz w:val="22"/>
                <w:szCs w:val="22"/>
              </w:rPr>
              <w:t>，依照教材审核选用标准和程序选用教材情况；推进马工程重点教材统一使用情况；以及对教材选用工作出现负面问题的处理情况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通过必选定量指标达标情况、自选定量指标及常模数据比较情况，阐述学校的优势与成绩、做法与经验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【必选】使用马工程重点教材课程数量与学校应使用马工程重点教材课程数量的比例</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【可选】近五年公开出版的教材</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K2.5.1（K2）学校在人才培养模式改革方面所开展的工作及取得的成效，要阐述如何推进产教融合卓越人才培养模式改革与实践；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K2.5.2学校课程体系整体设计的思路，公共课、专业基础课和专业课等各类课程优化的情况，以及课程建设规划建设情况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通过必选定量指标达标情况、自选定量指标及常模数据比较情况，阐述学校的优势与成绩、做法与经验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【必选】本科生生均课程门数</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【可选】与行业企业共建、共同讲授的课程门数</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K2.5.3学校在新工科、新文科建设以及围绕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四新</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培育产生的专业、课程、教材情况，围绕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培育高水平教学成果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开展教研教改项目建设的举措及实施成效；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K2.5.4学校推动一流专业建设的举措及取得的建设成效；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K2.5.5学校推动一流课程建设的举措及取得的建设成效；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K2.5.6学校推动出台的优秀教材建设举措及实施成效；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2.6.1学校构建创新创业教育工作体系情况，以及是否有效运行，创新创业教育平台建设情况，包括科研基地向大学生开放情况、大学生创新创业与社会需求对接平台等；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2.6.2学校将创新创业教育融于人才培养方案，面向全体学生所开展的因材施教、强化创新实践情况、推动举措与实施成效；</w:t>
            </w:r>
          </w:p>
          <w:p>
            <w:pPr>
              <w:tabs>
                <w:tab w:val="left" w:pos="2257"/>
              </w:tabs>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2.6.3学校创新创业的氛围情况，学生参与创新创业教育积极性以及所取得的成果</w:t>
            </w:r>
          </w:p>
          <w:p>
            <w:pPr>
              <w:tabs>
                <w:tab w:val="left" w:pos="2257"/>
              </w:tabs>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通过必选定量指标达标情况、自选定量指标及常模数据比较情况，阐述学校的优势与成绩、做法与经验</w:t>
            </w:r>
          </w:p>
          <w:p>
            <w:pPr>
              <w:rPr>
                <w:rFonts w:ascii="Times New Roman" w:hAnsi="Times New Roman" w:cs="Times New Roman"/>
                <w:sz w:val="22"/>
                <w:szCs w:val="22"/>
              </w:rPr>
            </w:pPr>
            <w:r>
              <w:rPr>
                <w:rFonts w:ascii="Times New Roman" w:hAnsi="Times New Roman" w:cs="Times New Roman"/>
                <w:sz w:val="22"/>
                <w:szCs w:val="22"/>
              </w:rPr>
              <w:t>【必选】本科生参加各级各类创新创业实践活动人数及比例。</w:t>
            </w:r>
          </w:p>
          <w:p>
            <w:pPr>
              <w:rPr>
                <w:rFonts w:ascii="Times New Roman" w:hAnsi="Times New Roman" w:cs="Times New Roman"/>
                <w:sz w:val="22"/>
                <w:szCs w:val="22"/>
              </w:rPr>
            </w:pPr>
            <w:r>
              <w:rPr>
                <w:rFonts w:ascii="Times New Roman" w:hAnsi="Times New Roman" w:cs="Times New Roman"/>
                <w:sz w:val="22"/>
                <w:szCs w:val="22"/>
              </w:rPr>
              <w:t>说明1：创新实践活动：学科竞赛、综合科技竞赛、大学生创新创业训练计划项目、学术论文及发明专利等。</w:t>
            </w:r>
          </w:p>
          <w:p>
            <w:pPr>
              <w:rPr>
                <w:rFonts w:ascii="Times New Roman" w:hAnsi="Times New Roman" w:cs="Times New Roman"/>
                <w:sz w:val="22"/>
                <w:szCs w:val="22"/>
              </w:rPr>
            </w:pPr>
            <w:r>
              <w:rPr>
                <w:rFonts w:ascii="Times New Roman" w:hAnsi="Times New Roman" w:cs="Times New Roman"/>
                <w:sz w:val="22"/>
                <w:szCs w:val="22"/>
              </w:rPr>
              <w:t>说明2：分级和分类：《</w:t>
            </w:r>
            <w:r>
              <w:rPr>
                <w:rFonts w:hint="eastAsia" w:ascii="Times New Roman" w:hAnsi="Times New Roman" w:cs="Times New Roman"/>
                <w:sz w:val="22"/>
                <w:szCs w:val="22"/>
              </w:rPr>
              <w:t>哈尔滨理工大学本科生研究性学习与学科竞赛管理办法</w:t>
            </w:r>
            <w:r>
              <w:rPr>
                <w:rFonts w:ascii="Times New Roman" w:hAnsi="Times New Roman" w:cs="Times New Roman"/>
                <w:sz w:val="22"/>
                <w:szCs w:val="22"/>
              </w:rPr>
              <w:t>》</w:t>
            </w:r>
          </w:p>
          <w:p>
            <w:pPr>
              <w:rPr>
                <w:rFonts w:ascii="Times New Roman" w:hAnsi="Times New Roman" w:cs="Times New Roman"/>
                <w:sz w:val="22"/>
                <w:szCs w:val="22"/>
              </w:rPr>
            </w:pPr>
            <w:r>
              <w:rPr>
                <w:rFonts w:ascii="Times New Roman" w:hAnsi="Times New Roman" w:cs="Times New Roman"/>
                <w:sz w:val="22"/>
                <w:szCs w:val="22"/>
              </w:rPr>
              <w:t>【必选】</w:t>
            </w:r>
            <w:r>
              <w:rPr>
                <w:rFonts w:hint="eastAsia" w:ascii="Times New Roman" w:hAnsi="Times New Roman" w:eastAsia="宋体" w:cs="Times New Roman"/>
                <w:sz w:val="22"/>
                <w:szCs w:val="22"/>
              </w:rPr>
              <w:t>“</w:t>
            </w:r>
            <w:r>
              <w:rPr>
                <w:rFonts w:ascii="Times New Roman" w:hAnsi="Times New Roman" w:cs="Times New Roman"/>
                <w:sz w:val="22"/>
                <w:szCs w:val="22"/>
              </w:rPr>
              <w:t>互联网+</w:t>
            </w:r>
            <w:r>
              <w:rPr>
                <w:rFonts w:hint="eastAsia" w:ascii="Times New Roman" w:hAnsi="Times New Roman" w:eastAsia="宋体" w:cs="Times New Roman"/>
                <w:sz w:val="22"/>
                <w:szCs w:val="22"/>
              </w:rPr>
              <w:t>”</w:t>
            </w:r>
            <w:r>
              <w:rPr>
                <w:rFonts w:ascii="Times New Roman" w:hAnsi="Times New Roman" w:cs="Times New Roman"/>
                <w:sz w:val="22"/>
                <w:szCs w:val="22"/>
              </w:rPr>
              <w:t>大学生创新创业大赛获奖数</w:t>
            </w:r>
          </w:p>
          <w:p>
            <w:pPr>
              <w:rPr>
                <w:rFonts w:ascii="Times New Roman" w:hAnsi="Times New Roman" w:cs="Times New Roman"/>
                <w:sz w:val="22"/>
                <w:szCs w:val="22"/>
              </w:rPr>
            </w:pPr>
            <w:r>
              <w:rPr>
                <w:rFonts w:ascii="Times New Roman" w:hAnsi="Times New Roman" w:cs="Times New Roman"/>
                <w:sz w:val="22"/>
                <w:szCs w:val="22"/>
              </w:rPr>
              <w:t>【可选】省级以上学科竞赛获奖学生人次数占学生总数的比例</w:t>
            </w:r>
          </w:p>
          <w:p>
            <w:pPr>
              <w:widowControl/>
              <w:spacing w:line="300" w:lineRule="exact"/>
              <w:rPr>
                <w:rFonts w:ascii="Times New Roman" w:hAnsi="Times New Roman" w:cs="Times New Roman"/>
                <w:sz w:val="22"/>
                <w:szCs w:val="22"/>
              </w:rPr>
            </w:pPr>
            <w:r>
              <w:rPr>
                <w:rFonts w:ascii="Times New Roman" w:hAnsi="Times New Roman" w:cs="Times New Roman"/>
                <w:sz w:val="22"/>
                <w:szCs w:val="22"/>
              </w:rPr>
              <w:t>说明：人次数占学生总数的比例——人次数（面）、项目数（量）、等次（质）；</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B3.2.1（B2）行业企业课程资源库、真实项目案例库建设及共享情况，要阐述推动行业企业课程资源开发建设和共享情况等；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B3.2.2（B2）面向行业企业实际、产业发展需要的应用型教材建设举措与成效，要阐述如何鼓励和支持高水平教师面向国家、行业领域需求，编写高水平教材；</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K3.2.4（K2）学校采取有效措施促进产业技术发展成果、产学研合作项目转化为教学资源的情况等；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4.2.2学校提升教师教书育人能力和水平的举措及成效，包括教师培训、建立基层教学组织、开展教育教学研究活动等；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4.3.1学校在推动高水平教师投入本科教育教学、推动教授给本科生上课方面所采取的激励与约束机制，学校制定的激励与约束机制实施效果通过必选定量指标达标情况及常模数据比较情况，阐述学校的优势与成绩、做法与经验</w:t>
            </w:r>
          </w:p>
          <w:p>
            <w:pPr>
              <w:rPr>
                <w:rFonts w:ascii="Times New Roman" w:hAnsi="Times New Roman" w:cs="Times New Roman"/>
                <w:sz w:val="22"/>
                <w:szCs w:val="22"/>
              </w:rPr>
            </w:pPr>
            <w:r>
              <w:rPr>
                <w:rFonts w:ascii="Times New Roman" w:hAnsi="Times New Roman" w:cs="Times New Roman"/>
                <w:sz w:val="22"/>
                <w:szCs w:val="22"/>
              </w:rPr>
              <w:t>【必选】主讲本科课程教授占教授总数的比例</w:t>
            </w:r>
          </w:p>
          <w:p>
            <w:pPr>
              <w:rPr>
                <w:rFonts w:ascii="Times New Roman" w:hAnsi="Times New Roman" w:cs="Times New Roman"/>
                <w:sz w:val="22"/>
                <w:szCs w:val="22"/>
              </w:rPr>
            </w:pPr>
            <w:bookmarkStart w:id="1" w:name="bookmark0"/>
            <w:r>
              <w:rPr>
                <w:rFonts w:ascii="Times New Roman" w:hAnsi="Times New Roman" w:cs="Times New Roman"/>
                <w:sz w:val="22"/>
                <w:szCs w:val="22"/>
              </w:rPr>
              <w:t>【必选】教授主讲本科课程人均学时数</w:t>
            </w:r>
            <w:bookmarkEnd w:id="1"/>
            <w:r>
              <w:rPr>
                <w:rFonts w:hint="eastAsia" w:ascii="Times New Roman" w:hAnsi="Times New Roman" w:cs="Times New Roman"/>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4.3.2广大教师特别是教授和副教授开展教学研究、参与教学改革与建设，包括教学改革、专业建设、课程建设和教材建设的实际情况及成效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通过必选定量指标达标情况及常模数据比较情况，阐述学校的优势与成绩、做法与经验</w:t>
            </w:r>
          </w:p>
          <w:p>
            <w:pPr>
              <w:rPr>
                <w:rFonts w:ascii="Times New Roman" w:hAnsi="Times New Roman" w:cs="Times New Roman"/>
                <w:sz w:val="22"/>
                <w:szCs w:val="22"/>
              </w:rPr>
            </w:pPr>
            <w:r>
              <w:rPr>
                <w:rFonts w:ascii="Times New Roman" w:hAnsi="Times New Roman" w:cs="Times New Roman"/>
                <w:sz w:val="22"/>
                <w:szCs w:val="22"/>
              </w:rPr>
              <w:t>【必选】教授、副教授担任专业负责人的专业占专业总数的比例</w:t>
            </w:r>
            <w:r>
              <w:rPr>
                <w:rFonts w:hint="eastAsia" w:ascii="Times New Roman" w:hAnsi="Times New Roman" w:cs="Times New Roman"/>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4.4.2学校重视教师教学发展与培训，在加强教师教学发展中心、基层教学组织（或教学团队）和青年教师队伍建设等方面的措施与成效</w:t>
            </w:r>
            <w:r>
              <w:rPr>
                <w:rFonts w:hint="eastAsia" w:ascii="Times New Roman" w:hAnsi="Times New Roman" w:cs="Times New Roman"/>
                <w:kern w:val="0"/>
                <w:sz w:val="22"/>
                <w:szCs w:val="22"/>
              </w:rPr>
              <w:t>，</w:t>
            </w:r>
            <w:r>
              <w:rPr>
                <w:rFonts w:ascii="Times New Roman" w:hAnsi="Times New Roman" w:cs="Times New Roman"/>
                <w:kern w:val="0"/>
                <w:sz w:val="22"/>
                <w:szCs w:val="22"/>
              </w:rPr>
              <w:t>通过必选定量指标达标情况、自选定量指标及常模数据比较情况，阐述学校的优势与成绩、做法与经验</w:t>
            </w:r>
          </w:p>
          <w:p>
            <w:pPr>
              <w:rPr>
                <w:rFonts w:ascii="Times New Roman" w:hAnsi="Times New Roman" w:cs="Times New Roman"/>
                <w:sz w:val="22"/>
                <w:szCs w:val="22"/>
              </w:rPr>
            </w:pPr>
            <w:r>
              <w:rPr>
                <w:rFonts w:ascii="Times New Roman" w:hAnsi="Times New Roman" w:cs="Times New Roman"/>
                <w:sz w:val="22"/>
                <w:szCs w:val="22"/>
              </w:rPr>
              <w:t>【必选】设有基层教学组织的专业占专业总数的比例</w:t>
            </w:r>
          </w:p>
          <w:p>
            <w:pPr>
              <w:rPr>
                <w:rFonts w:ascii="Times New Roman" w:hAnsi="Times New Roman" w:cs="Times New Roman"/>
                <w:sz w:val="22"/>
                <w:szCs w:val="22"/>
              </w:rPr>
            </w:pPr>
            <w:r>
              <w:rPr>
                <w:rFonts w:ascii="Times New Roman" w:hAnsi="Times New Roman" w:cs="Times New Roman"/>
                <w:sz w:val="22"/>
                <w:szCs w:val="22"/>
              </w:rPr>
              <w:t>【可选】教师发展中心培训本校教师的比例</w:t>
            </w:r>
            <w:r>
              <w:rPr>
                <w:rFonts w:hint="eastAsia" w:ascii="Times New Roman" w:hAnsi="Times New Roman" w:cs="Times New Roman"/>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B5.2.1（B2）学校如何重视学生综合应用知识能力和独立解决生产、管理和服务中实际问题能力的培养情况；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5.2.2学校贯彻落实教育部等四部门《关于进一步加强学校体育工作的若干意见》、教育部《关于切实加强新时代学校美育工作的意见》和中共中央国务院《关于全面加强新时代大中小学劳动教育的意见》精神，</w:t>
            </w:r>
            <w:r>
              <w:rPr>
                <w:rFonts w:hint="eastAsia" w:ascii="Times New Roman" w:hAnsi="Times New Roman" w:cs="Times New Roman"/>
                <w:kern w:val="0"/>
                <w:sz w:val="22"/>
                <w:szCs w:val="22"/>
              </w:rPr>
              <w:t>实施</w:t>
            </w:r>
            <w:r>
              <w:rPr>
                <w:rFonts w:ascii="Times New Roman" w:hAnsi="Times New Roman" w:cs="Times New Roman"/>
                <w:kern w:val="0"/>
                <w:sz w:val="22"/>
                <w:szCs w:val="22"/>
              </w:rPr>
              <w:t>体育、美育、劳动教育教学改革的措施及取得的成效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5.4.3学校推进学分制改革和弹性学习的具体措施和相应的管理制度，开展辅修专业、双学士学位专业学习情况及学生受益面等；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6.1.2学校加强考风建设，出台的加强考试管理、严肃考试纪律的制度文件及执行情况，学校加强过程性考核和结果性考核有机结合、能力与知识并重的多元化学业考核评价体系情况，对毕业设计（论文）的选题、开题、答辩等环节的全过程管理，严把毕业出口关等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7.1.1学校专业人才培养目标的达成评价办法、评价重点以及评价的结论；</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7.2.1学校近三年本科生生源情况分析；</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7.4.1学校人才培养各环节运行情况、质量情况；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7.4.2学校针对质量监控、质量评估和质量分析中发现的问题持续改进情况，可分析学校近三年人才培养核心数据变化的态势，判别人才培养工作持续改进、持续提升的效果</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K3.2.3学校促进学生个性化学习、开放式学习和泛在学习，借助物联网技术、云计算技术和智能技术，建设适应</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互联网+</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课程教学需要的智慧教室、智能实验室等建设情况及使用效果</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7.5.2开展的教师对学校教育教学工作满意度调查情况及结论</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B4.2.1（B2）学校专任教师队伍的专业水平和教学能力，说明能否很好的胜任教育教学工作，还要阐述教师的产学研用能力和水平，以及满足学生创新意识和创新能力培养需要情况；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4.4.3（B2）学校在提升教师教学能力、产学研用能力、信息技术应用能力，鼓励教师到业界实践、挂职和承担横向课题方面制定的政策、实施的措施及取得的成效，还要阐述如何培养教师的产学研用能力、信息技术应用能力；</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B4.4.4（B2）学校双师双能型教师队伍和实践教学教师队伍管理与建设规章制度、举措、成效等。</w:t>
            </w:r>
          </w:p>
          <w:p>
            <w:pPr>
              <w:widowControl/>
              <w:spacing w:line="300" w:lineRule="exact"/>
              <w:rPr>
                <w:rFonts w:ascii="Times New Roman" w:hAnsi="Times New Roman" w:cs="Times New Roman"/>
                <w:kern w:val="0"/>
                <w:sz w:val="22"/>
                <w:szCs w:val="22"/>
              </w:rPr>
            </w:pPr>
          </w:p>
        </w:tc>
        <w:tc>
          <w:tcPr>
            <w:tcW w:w="912"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1.2.3能够证明学校</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课程思政</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建设的支撑材料，如相关的会议记录或会议纪要，相关的文件、制度及执行情况；课程思政示范课程、课程思政教学研究示范中心以及课程思政教学名师和团队列表分析，相关的档案、资料、媒体报道等；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1.3.1能够证明学校</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以本为本</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重视本科教学的支撑材料，如党委常委会、校长办公会的相关会议记录或会议纪要，学校本科教学工作会议，学院落实学校本科教育工作的会议记录；相关的文件、制度及执行情况，相关的档案、资料、媒体报道等</w:t>
            </w:r>
            <w:r>
              <w:rPr>
                <w:rFonts w:hint="eastAsia" w:ascii="Times New Roman" w:hAnsi="Times New Roman" w:cs="Times New Roman"/>
                <w:kern w:val="0"/>
                <w:sz w:val="22"/>
                <w:szCs w:val="22"/>
              </w:rPr>
              <w:t>，</w:t>
            </w:r>
            <w:r>
              <w:rPr>
                <w:rFonts w:ascii="Times New Roman" w:hAnsi="Times New Roman" w:cs="Times New Roman"/>
                <w:kern w:val="0"/>
                <w:sz w:val="22"/>
                <w:szCs w:val="22"/>
              </w:rPr>
              <w:t>学校开展教育教学思想大讨论</w:t>
            </w:r>
            <w:r>
              <w:rPr>
                <w:rFonts w:hint="eastAsia" w:ascii="Times New Roman" w:hAnsi="Times New Roman" w:cs="Times New Roman"/>
                <w:kern w:val="0"/>
                <w:sz w:val="22"/>
                <w:szCs w:val="22"/>
              </w:rPr>
              <w:t>的文件、资料、报道等</w:t>
            </w:r>
            <w:r>
              <w:rPr>
                <w:rFonts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1.3.2能够证明学校</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四个回归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的实现的支撑材料，如相关的会议记录或会议纪要，相关的文件、制度及执行情况，相关的档案、资料、媒体报道等；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2.1.1能够证明学校培养目标符合学校定位、适应社会经济发展需要、体现学生德智体美劳全面发展的支撑材料，如学校人才培养总目标，学校章程，培养目标与学校定位、经济社会发展需要的符合情况，各专业人才培养方案，相关的档案、资料、报道、论证报告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2.1.2能够证明培养方案符合国家专业类标准、体现产出导向理念的支撑材料</w:t>
            </w:r>
            <w:r>
              <w:rPr>
                <w:rFonts w:hint="eastAsia" w:ascii="Times New Roman" w:hAnsi="Times New Roman" w:cs="Times New Roman"/>
                <w:kern w:val="0"/>
                <w:sz w:val="22"/>
                <w:szCs w:val="22"/>
              </w:rPr>
              <w:t>，</w:t>
            </w:r>
            <w:r>
              <w:rPr>
                <w:rFonts w:ascii="Times New Roman" w:hAnsi="Times New Roman" w:cs="Times New Roman"/>
                <w:kern w:val="0"/>
                <w:sz w:val="22"/>
                <w:szCs w:val="22"/>
              </w:rPr>
              <w:t>如相关的文件及文件执行情况，相关的档案、资料、论证报告，培养方案与国家专业类标准的对比分析，定量指标的统计分析等；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2.1.3（B2）能够证明培养方案强化实践教学、突出实验实训内容的基础性和应用型的支撑材料，如相关文件，各专业培养方案，相关的档案、资料；</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2.2.1（B2）能够证明学校专业设置、专业建设与国家区域发展战略及社会对应用型人才需求契合的支撑材料，如相关文件、制度及执行情况，专业设置、专业建设与区域发展战略及社会对应用型人才需求契合情况的论证材料，相关的档案、资料、媒体报道，专业建设规划及执行情况，定量指标的统计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2.2.2（B2）能够证明学校围绕国家和区域经济发展需求，建立自主性、灵活性与规范性、稳定性相统一的专业设置管理体系的支撑材料，如相关的会议记录，相关的文件、制度及执行情况，专业设置一览表，专业调整情况论证分析，专业建设及建设情况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2.2.3能够证明学校促进复合型人才培养的支撑材料，如主辅修、微专业和双学士学位培养等的相关文件、制度，相关的档案、资料，相关的统计表及促进复合型人才培养的分析材料等；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2.3.1能够证明学校强化实践育人、构建实践教学体系、推动实践教学改革的支撑材料，如相关的文件、制度及执行情况，相关的档案、资料、媒体报道，定量指标的统计分析等；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B2.3.2（B2）能够证明学校与企业、行业单位共建实习实训基地的支撑材料，如相关的文件、制度、合同、协议，相关的档案、资料，定量指标的统计分析等；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B2.3.3（B2）能够证明毕业论文（设计）选题来自行业企业一线需要、实行校企</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双导师</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制情况及完成质量支撑材料</w:t>
            </w:r>
            <w:r>
              <w:rPr>
                <w:rFonts w:hint="eastAsia" w:ascii="Times New Roman" w:hAnsi="Times New Roman" w:cs="Times New Roman"/>
                <w:kern w:val="0"/>
                <w:sz w:val="22"/>
                <w:szCs w:val="22"/>
              </w:rPr>
              <w:t>，</w:t>
            </w:r>
            <w:r>
              <w:rPr>
                <w:rFonts w:ascii="Times New Roman" w:hAnsi="Times New Roman" w:cs="Times New Roman"/>
                <w:kern w:val="0"/>
                <w:sz w:val="22"/>
                <w:szCs w:val="22"/>
              </w:rPr>
              <w:t>如相关的文件、制度及执行情况，相关的档案、资料，定量指标的统计分析等；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2.4.1能够证明学校实施</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以学为中心、以教为主导</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的课堂教学，开展以学生学习成果为导向的教学评价的支撑材料，如相关的文件、制度及执行情况，相关的档案、资料、媒体报道等；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2.4.2能够证明学校推进信息技术与教学过程融合、加强信息化教学环境与资源建设的支撑材料，如相关的文件、制度及执行情况，现代技术在教学与管理中的应用分析，信息化教学环境与资源建设一览</w:t>
            </w:r>
            <w:r>
              <w:rPr>
                <w:rFonts w:hint="eastAsia" w:ascii="Times New Roman" w:hAnsi="Times New Roman" w:cs="Times New Roman"/>
                <w:kern w:val="0"/>
                <w:sz w:val="22"/>
                <w:szCs w:val="22"/>
              </w:rPr>
              <w:t>表</w:t>
            </w:r>
            <w:r>
              <w:rPr>
                <w:rFonts w:ascii="Times New Roman" w:hAnsi="Times New Roman" w:cs="Times New Roman"/>
                <w:kern w:val="0"/>
                <w:sz w:val="22"/>
                <w:szCs w:val="22"/>
              </w:rPr>
              <w:t>，相关的档案、资料等。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2.4.3能够证明学校建立健全教材管理机构和工作制度，依照教材审核选用标准和程序选用教材；推进马工程重点教材统一使用；对教材选用工作出现负面问题的处理等情况的支撑材料，如相关的制度及执行情况，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K2.5.1（K2）能够证明学校实施产教融合卓越人才培养模式改革的支撑材料</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如所开展的相关的工作，相关的文件、制度及执行情况，相关的档案、资料、媒体报道，定量指标的统计等；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2.5.2能够证明学校加强课程体系整体设计，优化公共课、专业基础课和专业课比例结构，提高课程建设规划性、系统性的支撑材料，如相关的文件、制度及执行情况分析，相关的档案、资料，课程建设规划及执行情况，定量指标的统计等；</w:t>
            </w:r>
          </w:p>
          <w:p>
            <w:pPr>
              <w:tabs>
                <w:tab w:val="left" w:pos="2257"/>
              </w:tabs>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K2.5.3能够证明学校新工科、新文科建设以及围绕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培育高水平教学成果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开展教研教改项目建设的支撑材料，如相关的文件、制度及执行情况；新工科、新文科建设情况分析；围绕</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培育高水平教学成果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开展教研教改项目建设情况分析，相关的档案、资料、媒体报道等；</w:t>
            </w:r>
          </w:p>
          <w:p>
            <w:pPr>
              <w:tabs>
                <w:tab w:val="left" w:pos="2257"/>
              </w:tabs>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K2.5.4一流专业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建设的支撑材料，如相关的文件、制度及执行情况，一流专业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建设统计分析，相关的档案、资料、媒体报道等；</w:t>
            </w:r>
          </w:p>
          <w:p>
            <w:pPr>
              <w:tabs>
                <w:tab w:val="left" w:pos="2257"/>
              </w:tabs>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K2.5.5一流课程</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建设的支撑材料，如相关的文件、制度及执行情况，一流课程</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双万计划</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建设统计分析，相关的档案、资料、媒体报道等；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K2.5.6如相关的文件、制度及执行情况，优秀教材统计，相关的档案、资料等；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2.6.1能够证明学校创新创业教育工作体系与创新创业教育平台建设的支撑材料</w:t>
            </w:r>
            <w:r>
              <w:rPr>
                <w:rFonts w:hint="eastAsia" w:ascii="Times New Roman" w:hAnsi="Times New Roman" w:cs="Times New Roman"/>
                <w:kern w:val="0"/>
                <w:sz w:val="22"/>
                <w:szCs w:val="22"/>
              </w:rPr>
              <w:t>，</w:t>
            </w:r>
            <w:r>
              <w:rPr>
                <w:rFonts w:ascii="Times New Roman" w:hAnsi="Times New Roman" w:cs="Times New Roman"/>
                <w:kern w:val="0"/>
                <w:sz w:val="22"/>
                <w:szCs w:val="22"/>
              </w:rPr>
              <w:t>如相关的文件、制度及执行情况，平台建设统计，科研基地对学生开放情况统计，相关的档案、资料、媒体报道等；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2.6.2能够证明将创新创业教育贯穿于人才培养全过程、融入专业教育的支撑材料，如相关文件、制度及执行情况，培养方案，相关的档案、资料、媒体报道等；</w:t>
            </w:r>
          </w:p>
          <w:p>
            <w:pPr>
              <w:tabs>
                <w:tab w:val="left" w:pos="2257"/>
              </w:tabs>
              <w:spacing w:line="300" w:lineRule="exact"/>
              <w:rPr>
                <w:rFonts w:ascii="Times New Roman" w:hAnsi="Times New Roman" w:cs="Times New Roman"/>
                <w:kern w:val="0"/>
                <w:sz w:val="22"/>
                <w:szCs w:val="22"/>
              </w:rPr>
            </w:pPr>
            <w:r>
              <w:rPr>
                <w:rFonts w:ascii="Times New Roman" w:hAnsi="Times New Roman" w:cs="Times New Roman"/>
                <w:kern w:val="0"/>
                <w:sz w:val="22"/>
                <w:szCs w:val="22"/>
              </w:rPr>
              <w:t>2.6.3能够证明学生参与创新创业教育积极性的支撑材料，如相关文件及制度，获奖证书，相关的档案、资料、媒体报道，各定量指标的统计分析等；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B3.2.1（B2）行业企业课程资源库、真实项目案例库建设及共享情况的统计分析，相关的档案、资料等；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B3.2.2（B2）能够证明面向行业企业实际、产业发展需要的应用型教材建设的支撑材料，如相关文件、管理制度及执行情况，教材一览表，相关的档案、资料等；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K3.2.4（K2）能够证明产业技术发展成果、产学研合作项目转化为教学资源的支撑材料，如相关的文件、制度及执行情况，产业技术发展成果、产学研合作项目转化为教学资源的统计分析等；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4.2.2能够证明教师教书育人能力和水平的支撑材料，如相关的文件、制度及执行情况，教师培训一览表，基层教学组织一览表，开展教学研究活动记录，相关的档案、资料、媒体报道等；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4.3.1能够证明学校推动教师投入教学、教授全员为本科生授课的支撑材料，如相关的文件、制度及执行情况，相关的档案、资料，定量指标的统计分析等；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4.3.2能够证明教师特别是教授和副教授开展教学研究、参与教学改革与建设的支撑材料，如相关的文件、制度及执行情况，教师开展教学研究统计分析，教师参与教学改革与建设情况统计分析，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4.4.2能够证明加强教师教学发展中心、基层教学组织和青年教师队伍建设的支撑材料，如相关的文件、制度及执行情况，相关的档案、资料、媒体报道，定量指标的统计分析等；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B5.2.1（B2）能够证明重视学生综合应用知识能力和独立解决生产、管理和服务中实际问题能力培养的支撑材料，如相关的文件、制度及执行情况等；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5.2.2学校开展通识教育、体育、美育、劳动教育的支撑材料，如相关的文件、制度及执行情况，相关的档案、资料，定量指标的统计分析等；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5.4.3相关的文件、制度及执行情况，相关的档案、资料，相关的统计分析等；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6.1.2相关的文件、制度及执行情况，相关的档案、资料、媒体报道等；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7.1.1能够证明各专业人才培养目标的达成情况的支撑材料，如相关的文件、制度及执行情况，相关的分析报告，相关的档案、资料等；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7.2.1本科生生源情况统计分析，相关的档案、资料等；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7.4.1人才培养各环节运行情况分析，相关的档案、资料等；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7.4.2各种整改工作计划及整改报告，人才培养核心数据变化的态势分析，相关的档案、资料</w:t>
            </w:r>
            <w:r>
              <w:rPr>
                <w:rFonts w:hint="eastAsia" w:ascii="Times New Roman" w:hAnsi="Times New Roman" w:cs="Times New Roman"/>
                <w:kern w:val="0"/>
                <w:sz w:val="22"/>
                <w:szCs w:val="22"/>
              </w:rPr>
              <w:t>、</w:t>
            </w:r>
            <w:r>
              <w:rPr>
                <w:rFonts w:ascii="Times New Roman" w:hAnsi="Times New Roman" w:cs="Times New Roman"/>
                <w:kern w:val="0"/>
                <w:sz w:val="22"/>
                <w:szCs w:val="22"/>
              </w:rPr>
              <w:t>媒体报道等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K3.2.3智慧教室、智能实验室等建设情况分析，相关的档案、资料等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7.5.2教师对学校教育教学工作满意度调查报告，相关的档案、资料等</w:t>
            </w:r>
            <w:r>
              <w:rPr>
                <w:rFonts w:hint="eastAsia" w:ascii="Times New Roman" w:hAnsi="Times New Roman" w:cs="Times New Roman"/>
                <w:kern w:val="0"/>
                <w:sz w:val="22"/>
                <w:szCs w:val="22"/>
              </w:rPr>
              <w:t>；</w:t>
            </w:r>
          </w:p>
          <w:p>
            <w:p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B4.2.1（B2）能够证明专任教师的专业水平、教学能力、产学研用能力的支撑材料，如专任教师情况统计分析，相关的档案、资料等；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B4.4.3（B2）能够证明提升教师教学能力、产学研用能力、信息技术应用能力，鼓励教师到业界实践、挂职和承担横向课题的支撑材料，如相关的文件、制度及执行情况，相关的档案、资料等；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B4.4.4（B2）能够证明双师双能型教师队伍和实践教学教师队伍管理与建设的支撑材料，如相关的文件、制度及执行情况，相关的档案、资料等。</w:t>
            </w:r>
          </w:p>
        </w:tc>
        <w:tc>
          <w:tcPr>
            <w:tcW w:w="253" w:type="pct"/>
            <w:vMerge w:val="restart"/>
            <w:vAlign w:val="center"/>
          </w:tcPr>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人才培养</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人才培养</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人才培养</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人才培养</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人才培养</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人才培养</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tc>
        <w:tc>
          <w:tcPr>
            <w:tcW w:w="270" w:type="pct"/>
            <w:vMerge w:val="restart"/>
            <w:vAlign w:val="center"/>
          </w:tcPr>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陈庆国</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陈庆国</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陈庆国</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陈庆国</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陈庆国</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陈庆国</w:t>
            </w:r>
          </w:p>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教务处</w:t>
            </w: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教务处</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教务处</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教务处</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教务处</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tc>
        <w:tc>
          <w:tcPr>
            <w:tcW w:w="193" w:type="pc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3"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4</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1.多措并举，鼓励教师赴国（境）外交流、访学、参加国际会议、合作研究；</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2.多措并举，积极与国（境）外大学开展合作办学、合作育人以及与本科教育相关的国际交流活动，开展来华留学生教育；</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3.多措并举，积极开展国际先进教育理念、优质教育资源的吸收内化、培育和输出共享工作；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4.多措并举，积极开展学生赴国（境）外交流、访学、实习、竞赛、参加国际会议、合作研究等活动</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【可选】在学期间赴国（境）外交流、访学、实习的学生数占在校生数的比例。</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1.在教师赴国（境）外交流、访学、参加国际会议、合作研究方面的措施与成效，举例说明（K4.4.5）；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2.在与国（境）外大学合作办学、合作育人以及与本科教育相关的国际交流活动和来华留学生教育开展方面的措施与成效，举例说明（K5.3.1）；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3.在国际先进教育理念、优质教育资源的吸收内化、培育和输出共享方面的措施与成效，举例说明（K5.3.2）；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4.在学生赴国（境）外交流、访学、实习、竞赛、参加国际会议、合作研究等方面的措施与成效，举例说明（K5.3.3）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【可选】确保在学期间赴国（境）外交流、访学、实习的学生数占在校生数的比例逐年增加。</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K4.4.5学校鼓励教师赴国（境）外交流、访学、参加国际会议、合作研究的政策、实施情况和效果；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K5.3.1学校主动服务国家对外开放战略，积极融入</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一带一路</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建设，推动国际交流与合作，与国（境）外高水平大学开展联合办学、联合培养等具体做法、采取的举措及取得的成效，学校吸引外国留学生来华学习的举措及来华留学生教育质量情况；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K5.3.2学校将国际先进的教育理念贯彻落实到人才培养过程中的情况，吸收利用国外（境外）优质教育资源（教材、网络课程、专业设计软件等）以及输出共享情况；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K5.3.3学校鼓励学生赴国（境）外交流、访学、实习、竞赛、参加国际会议、合作研究的激励政策及提供的国（境）外跨校跨文化交流的学习机会、以及实施的实际效果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通过自选定量指标及常模数据比较情况，阐述学校的优势与成绩、做法与经验</w:t>
            </w:r>
          </w:p>
          <w:p>
            <w:pPr>
              <w:rPr>
                <w:rFonts w:ascii="Times New Roman" w:hAnsi="Times New Roman" w:cs="Times New Roman"/>
                <w:kern w:val="0"/>
                <w:sz w:val="22"/>
                <w:szCs w:val="22"/>
              </w:rPr>
            </w:pPr>
            <w:r>
              <w:rPr>
                <w:rFonts w:ascii="Times New Roman" w:hAnsi="Times New Roman" w:cs="Times New Roman"/>
                <w:sz w:val="22"/>
                <w:szCs w:val="22"/>
              </w:rPr>
              <w:t>【可选】在学期间赴国（境）外交流、访学、实习的学生数占在校生数的比例。</w:t>
            </w:r>
          </w:p>
        </w:tc>
        <w:tc>
          <w:tcPr>
            <w:tcW w:w="912" w:type="pct"/>
            <w:vAlign w:val="center"/>
          </w:tcPr>
          <w:p>
            <w:p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K4.4.5能够证明教师赴国（境）外交流、访学、参加国际会议、合作研究的支撑材料，如相关的文件、制度及执行情况，教师赴国（境）外交流、访学、参加国际会议、合作研究等情况统计分析，相关的档案、资料等；</w:t>
            </w:r>
          </w:p>
          <w:p>
            <w:pPr>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K5.3.1学校国际交流活动和来华留学生教育开展情况的支撑材料，如相关的文件、制度及执行情况，与国（境）外大学合作办学、合作育人以及与本科教育相关的国际交流活动情况分析，</w:t>
            </w:r>
            <w:r>
              <w:rPr>
                <w:rFonts w:hint="eastAsia" w:ascii="Times New Roman" w:hAnsi="Times New Roman" w:cs="Times New Roman"/>
                <w:kern w:val="0"/>
                <w:sz w:val="22"/>
                <w:szCs w:val="22"/>
              </w:rPr>
              <w:t>来</w:t>
            </w:r>
            <w:r>
              <w:rPr>
                <w:rFonts w:ascii="Times New Roman" w:hAnsi="Times New Roman" w:cs="Times New Roman"/>
                <w:kern w:val="0"/>
                <w:sz w:val="22"/>
                <w:szCs w:val="22"/>
              </w:rPr>
              <w:t>华留学生教育开展情况分析，相关的档案、资料等；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K5.3.2将国际先进的教育理念贯彻落实到人才培养过程中的情况分析，吸收利用国（境）外优质教育资源（教材、网络课程、专业设计软件等）以及输出共享情况分析，相关的档案、资料等；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K5.3.3相关的文件、制度及执行情况，学生赴国（境）外交流、访学、实习、竞赛、参加国际会议、合作研究等情况统计分析，相关的档案、资料，定量指标的统计分析等。</w:t>
            </w:r>
          </w:p>
        </w:tc>
        <w:tc>
          <w:tcPr>
            <w:tcW w:w="253" w:type="pct"/>
            <w:vMerge w:val="continue"/>
            <w:vAlign w:val="center"/>
          </w:tcPr>
          <w:p>
            <w:pPr>
              <w:widowControl/>
              <w:spacing w:line="300" w:lineRule="exact"/>
              <w:jc w:val="center"/>
              <w:rPr>
                <w:rFonts w:ascii="Times New Roman" w:hAnsi="Times New Roman" w:cs="Times New Roman"/>
                <w:kern w:val="0"/>
                <w:sz w:val="22"/>
                <w:szCs w:val="22"/>
              </w:rPr>
            </w:pPr>
          </w:p>
        </w:tc>
        <w:tc>
          <w:tcPr>
            <w:tcW w:w="270" w:type="pct"/>
            <w:vMerge w:val="continue"/>
            <w:vAlign w:val="center"/>
          </w:tcPr>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国际合作与交流处</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5</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1.开展体育活动，增强学生体质；</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2.多措并举，鼓励学生参加体育竞赛。</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1.提高体质测试达标率；（5.2.2）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2.提高体育竞赛参赛获奖学生人次数占学生总数的比例。（5.2.3）</w:t>
            </w:r>
          </w:p>
        </w:tc>
        <w:tc>
          <w:tcPr>
            <w:tcW w:w="1336" w:type="pct"/>
            <w:vAlign w:val="center"/>
          </w:tcPr>
          <w:p>
            <w:pPr>
              <w:rPr>
                <w:rFonts w:ascii="Times New Roman" w:hAnsi="Times New Roman" w:cs="Times New Roman"/>
                <w:sz w:val="22"/>
                <w:szCs w:val="22"/>
              </w:rPr>
            </w:pPr>
            <w:r>
              <w:rPr>
                <w:rFonts w:ascii="Times New Roman" w:hAnsi="Times New Roman" w:cs="Times New Roman"/>
                <w:kern w:val="0"/>
                <w:sz w:val="22"/>
                <w:szCs w:val="22"/>
              </w:rPr>
              <w:t>5.2.2</w:t>
            </w:r>
            <w:r>
              <w:rPr>
                <w:rFonts w:ascii="Times New Roman" w:hAnsi="Times New Roman" w:cs="Times New Roman"/>
                <w:sz w:val="22"/>
                <w:szCs w:val="22"/>
              </w:rPr>
              <w:t>【必选】体质测试达标率</w:t>
            </w:r>
          </w:p>
          <w:p>
            <w:pPr>
              <w:rPr>
                <w:rFonts w:ascii="Times New Roman" w:hAnsi="Times New Roman" w:cs="Times New Roman"/>
                <w:sz w:val="22"/>
                <w:szCs w:val="22"/>
              </w:rPr>
            </w:pPr>
            <w:r>
              <w:rPr>
                <w:rFonts w:ascii="Times New Roman" w:hAnsi="Times New Roman" w:cs="Times New Roman"/>
                <w:sz w:val="22"/>
                <w:szCs w:val="22"/>
              </w:rPr>
              <w:t>说明</w:t>
            </w:r>
            <w:r>
              <w:rPr>
                <w:rFonts w:hint="eastAsia" w:ascii="Times New Roman" w:hAnsi="Times New Roman" w:cs="Times New Roman"/>
                <w:sz w:val="22"/>
                <w:szCs w:val="22"/>
              </w:rPr>
              <w:t>1</w:t>
            </w:r>
            <w:r>
              <w:rPr>
                <w:rFonts w:ascii="Times New Roman" w:hAnsi="Times New Roman" w:cs="Times New Roman"/>
                <w:sz w:val="22"/>
                <w:szCs w:val="22"/>
              </w:rPr>
              <w:t>：《关于深化本科教育教学改革全面提高人才培养质量的意见》第9条：严把考试和毕业出口关……加强学生体育课程考核，不能达到《国家学生体质健康标准》合格要求者不能毕业……</w:t>
            </w:r>
          </w:p>
          <w:p>
            <w:pPr>
              <w:widowControl/>
              <w:spacing w:line="300" w:lineRule="exact"/>
              <w:rPr>
                <w:rFonts w:ascii="Times New Roman" w:hAnsi="Times New Roman" w:cs="Times New Roman"/>
                <w:sz w:val="22"/>
                <w:szCs w:val="22"/>
              </w:rPr>
            </w:pPr>
            <w:r>
              <w:rPr>
                <w:rFonts w:ascii="Times New Roman" w:hAnsi="Times New Roman" w:cs="Times New Roman"/>
                <w:sz w:val="22"/>
                <w:szCs w:val="22"/>
              </w:rPr>
              <w:t>说明</w:t>
            </w:r>
            <w:r>
              <w:rPr>
                <w:rFonts w:hint="eastAsia" w:ascii="Times New Roman" w:hAnsi="Times New Roman" w:cs="Times New Roman"/>
                <w:sz w:val="22"/>
                <w:szCs w:val="22"/>
              </w:rPr>
              <w:t>2</w:t>
            </w:r>
            <w:r>
              <w:rPr>
                <w:rFonts w:ascii="Times New Roman" w:hAnsi="Times New Roman" w:cs="Times New Roman"/>
                <w:sz w:val="22"/>
                <w:szCs w:val="22"/>
              </w:rPr>
              <w:t>：国家标准体质测试评价，即：形态、机能、素质三部分，涵盖速度（50米短跑）、耐力（1000米长跑）、力量（一分钟仰卧起坐、引体向上）、柔韧（体前屈）以及爆发力（立定跳远）等多项指标纳入体育教育；</w:t>
            </w:r>
          </w:p>
          <w:p>
            <w:pPr>
              <w:rPr>
                <w:rFonts w:ascii="Times New Roman" w:hAnsi="Times New Roman" w:cs="Times New Roman"/>
                <w:sz w:val="22"/>
                <w:szCs w:val="22"/>
              </w:rPr>
            </w:pPr>
            <w:r>
              <w:rPr>
                <w:rFonts w:ascii="Times New Roman" w:hAnsi="Times New Roman" w:cs="Times New Roman"/>
                <w:sz w:val="22"/>
                <w:szCs w:val="22"/>
              </w:rPr>
              <w:t>5.2.3【可选】省级以上体育竞赛参赛获奖学生人次数占学生总数的比例。</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5.2.2学校开展体育教育的支撑材料，如相关的文件、制度及执行情况，相关的档案、资料，定量指标的统计分析等；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5.2.3证明开展省级以上体育竞赛活动获奖的材料，如相关的文件、制度及执行情况，各种活动的统计分析，相关的档案、资料、媒体报道，定量指标的统计分析等。</w:t>
            </w:r>
          </w:p>
        </w:tc>
        <w:tc>
          <w:tcPr>
            <w:tcW w:w="253" w:type="pct"/>
            <w:vMerge w:val="continue"/>
            <w:vAlign w:val="center"/>
          </w:tcPr>
          <w:p>
            <w:pPr>
              <w:widowControl/>
              <w:spacing w:line="300" w:lineRule="exact"/>
              <w:jc w:val="center"/>
              <w:rPr>
                <w:rFonts w:ascii="Times New Roman" w:hAnsi="Times New Roman" w:cs="Times New Roman"/>
                <w:kern w:val="0"/>
                <w:sz w:val="22"/>
                <w:szCs w:val="22"/>
              </w:rPr>
            </w:pPr>
          </w:p>
        </w:tc>
        <w:tc>
          <w:tcPr>
            <w:tcW w:w="270" w:type="pct"/>
            <w:vMerge w:val="continue"/>
            <w:vAlign w:val="center"/>
          </w:tcPr>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体育教学部</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6</w:t>
            </w:r>
          </w:p>
        </w:tc>
        <w:tc>
          <w:tcPr>
            <w:tcW w:w="766"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1.多措并举，加强思想政治工作体系建设，建立</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三全育人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工作格局；</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2.多措并举，加强思想政治理论课教师队伍和思政课程建设，按要求开设</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必选】思政课专任教师与折合在校生比例≥1:350，【必选】专职党务工作人员和思想政治工作人员总数与全校师生人数比例≥1:100，【必选】生均思政工作和党务工作队伍建设专项经费≥20元，【必选】生均网络思政工作专项经费≥40元</w:t>
            </w:r>
            <w:r>
              <w:rPr>
                <w:rFonts w:hint="eastAsia" w:ascii="Times New Roman" w:hAnsi="Times New Roman" w:cs="Times New Roman"/>
                <w:kern w:val="0"/>
                <w:sz w:val="22"/>
                <w:szCs w:val="22"/>
              </w:rPr>
              <w:t>。</w:t>
            </w:r>
          </w:p>
        </w:tc>
        <w:tc>
          <w:tcPr>
            <w:tcW w:w="901"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1.在思想政治工作体系建设和</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三全育人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工作格局建立方面的措施与成效，举例说明（1.2.1）；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2.在加强思想政治理论课教师队伍和思政课程建设方面及按要求开设</w:t>
            </w:r>
            <w:r>
              <w:rPr>
                <w:rFonts w:hint="eastAsia" w:ascii="Times New Roman" w:hAnsi="Times New Roman"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cs="Times New Roman"/>
                <w:kern w:val="0"/>
                <w:sz w:val="22"/>
                <w:szCs w:val="22"/>
              </w:rPr>
              <w:t>》</w:t>
            </w:r>
            <w:r>
              <w:rPr>
                <w:rFonts w:ascii="Times New Roman" w:hAnsi="Times New Roman" w:cs="Times New Roman"/>
                <w:kern w:val="0"/>
                <w:sz w:val="22"/>
                <w:szCs w:val="22"/>
              </w:rPr>
              <w:t>课程方面的措施与成效，举例说明（1.2.2）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【必选】确保思政课专任教师与折合在校生比例≥1:350</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【必选】确保专职党务工作人员和思想政治工作人员总数与全校师生人数比例≥1:100</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【必选】确保生均思政工作和党务工作队伍建设专项经费≥20元</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【必选】确保生均网络思政工作专项经费≥40元。</w:t>
            </w:r>
          </w:p>
        </w:tc>
        <w:tc>
          <w:tcPr>
            <w:tcW w:w="1336"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1.2.1贯彻落实教育部等八部门《关于加快构建高校思想政治工作体系的意见》（教思政2020年1号）精神，构建思想政治工作体系情况，全员全过程全方位</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三全育人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1.2.2学校在思想政治理论课教师队伍和思政课程建设方面的做法和成效，按要求开设</w:t>
            </w:r>
            <w:r>
              <w:rPr>
                <w:rFonts w:hint="eastAsia" w:ascii="Times New Roman" w:hAnsi="Times New Roman"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cs="Times New Roman"/>
                <w:kern w:val="0"/>
                <w:sz w:val="22"/>
                <w:szCs w:val="22"/>
              </w:rPr>
              <w:t>》</w:t>
            </w:r>
            <w:r>
              <w:rPr>
                <w:rFonts w:ascii="Times New Roman" w:hAnsi="Times New Roman" w:cs="Times New Roman"/>
                <w:kern w:val="0"/>
                <w:sz w:val="22"/>
                <w:szCs w:val="22"/>
              </w:rPr>
              <w:t>课程，落实习近平总书记在学校思想政治理论课教师座谈会上的指示，《新时代高等学校思想政治理论课教师队伍建设规定》情况，教育部《高等学校思想政治理论课建设标准》：学校党政主要负责同志每学期至少给学生讲授4个学时思想政治理论课，高校领导班子其他成员每学期至少给学生讲授2个学时思想政治理论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通过必选定量指标及常模数据比较情况，阐述学校的优势与成绩、做法与经验。</w:t>
            </w:r>
          </w:p>
          <w:p>
            <w:pPr>
              <w:widowControl/>
              <w:spacing w:line="300" w:lineRule="exact"/>
              <w:rPr>
                <w:rFonts w:ascii="Times New Roman" w:hAnsi="Times New Roman" w:cs="Times New Roman"/>
                <w:kern w:val="0"/>
                <w:sz w:val="22"/>
                <w:szCs w:val="22"/>
              </w:rPr>
            </w:pPr>
          </w:p>
        </w:tc>
        <w:tc>
          <w:tcPr>
            <w:tcW w:w="912" w:type="pct"/>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1.2.1能够证明学校加强思想政治工作体系建设和</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三全育人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工作的支撑材料，如相关的会议记录或会议纪要，相关的文件、制度及落实情况，相关的档案、资料、媒体报道等；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1.2.2能够证明学校加强思想政治理论课教师队伍建设和思政课程建设的支撑材料，如相关的会议记录或会议纪要，相关的文件、制度及执行情况，</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课程开设情况，相关的档案、资料、媒体报道，各定量指标的统计分析等。</w:t>
            </w:r>
          </w:p>
        </w:tc>
        <w:tc>
          <w:tcPr>
            <w:tcW w:w="253" w:type="pct"/>
            <w:vMerge w:val="restar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思政教育与学生工作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推进组</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思政教育与学生工作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推进组</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 xml:space="preserve">   </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思政教育与学生工作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推进组</w:t>
            </w:r>
          </w:p>
          <w:p>
            <w:pPr>
              <w:widowControl/>
              <w:spacing w:line="300" w:lineRule="exact"/>
              <w:jc w:val="center"/>
              <w:rPr>
                <w:rFonts w:ascii="Times New Roman" w:hAnsi="Times New Roman" w:cs="Times New Roman"/>
                <w:kern w:val="0"/>
                <w:sz w:val="22"/>
                <w:szCs w:val="22"/>
              </w:rPr>
            </w:pPr>
          </w:p>
        </w:tc>
        <w:tc>
          <w:tcPr>
            <w:tcW w:w="270" w:type="pct"/>
            <w:vMerge w:val="restar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赵水</w:t>
            </w:r>
            <w:r>
              <w:rPr>
                <w:rFonts w:hint="eastAsia" w:ascii="Times New Roman" w:hAnsi="Times New Roman" w:cs="Times New Roman"/>
                <w:kern w:val="0"/>
                <w:sz w:val="22"/>
                <w:szCs w:val="22"/>
              </w:rPr>
              <w:t>杉</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赵水</w:t>
            </w:r>
            <w:r>
              <w:rPr>
                <w:rFonts w:hint="eastAsia" w:ascii="Times New Roman" w:hAnsi="Times New Roman" w:cs="Times New Roman"/>
                <w:kern w:val="0"/>
                <w:sz w:val="22"/>
                <w:szCs w:val="22"/>
              </w:rPr>
              <w:t>杉</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赵水</w:t>
            </w:r>
            <w:r>
              <w:rPr>
                <w:rFonts w:hint="eastAsia" w:ascii="Times New Roman" w:hAnsi="Times New Roman" w:cs="Times New Roman"/>
                <w:kern w:val="0"/>
                <w:sz w:val="22"/>
                <w:szCs w:val="22"/>
              </w:rPr>
              <w:t>杉</w:t>
            </w: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宣传部</w:t>
            </w:r>
          </w:p>
        </w:tc>
        <w:tc>
          <w:tcPr>
            <w:tcW w:w="193" w:type="pc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7</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1.多措并举，增强学生理想信念，提高学生品德修养；</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2.多措并举，加强学风建设，教育引导学生爱国、励志、求真、力行；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3.多措并举，促使领导干部和教师参与学生工作；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4.多措并举，开展学生指导服务工作（学业、职业生涯规划、就业、家庭经济困难学生资助、心理健康咨询等），加强学业导师、心理辅导教师、校医等配备，为师生交流活动提供专门场所</w:t>
            </w:r>
          </w:p>
          <w:p>
            <w:pPr>
              <w:widowControl/>
              <w:spacing w:line="300" w:lineRule="exact"/>
              <w:rPr>
                <w:rFonts w:ascii="Times New Roman" w:hAnsi="Times New Roman" w:cs="Times New Roman"/>
                <w:b/>
                <w:bCs/>
                <w:kern w:val="0"/>
                <w:sz w:val="22"/>
                <w:szCs w:val="22"/>
              </w:rPr>
            </w:pPr>
            <w:r>
              <w:rPr>
                <w:rFonts w:ascii="Times New Roman" w:hAnsi="Times New Roman" w:cs="Times New Roman"/>
                <w:kern w:val="0"/>
                <w:sz w:val="22"/>
                <w:szCs w:val="22"/>
              </w:rPr>
              <w:t>【必选】专职辅导员岗位与在校生比例≥1:200</w:t>
            </w:r>
          </w:p>
          <w:p>
            <w:pPr>
              <w:widowControl/>
              <w:spacing w:line="300" w:lineRule="exact"/>
              <w:rPr>
                <w:rFonts w:ascii="Times New Roman" w:hAnsi="Times New Roman" w:cs="Times New Roman"/>
                <w:b/>
                <w:bCs/>
                <w:kern w:val="0"/>
                <w:sz w:val="22"/>
                <w:szCs w:val="22"/>
              </w:rPr>
            </w:pPr>
            <w:r>
              <w:rPr>
                <w:rFonts w:ascii="Times New Roman" w:hAnsi="Times New Roman" w:cs="Times New Roman"/>
                <w:kern w:val="0"/>
                <w:sz w:val="22"/>
                <w:szCs w:val="22"/>
              </w:rPr>
              <w:t>【必选】专职从事心理健康教育教师与在校生比例≥1:4000且至少2名</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【必选】专职就业指导教师和专职就业工作人员与应届毕业生比例≥1:500</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5</w:t>
            </w:r>
            <w:r>
              <w:rPr>
                <w:rFonts w:ascii="Times New Roman" w:hAnsi="Times New Roman" w:cs="Times New Roman"/>
                <w:kern w:val="0"/>
                <w:sz w:val="22"/>
                <w:szCs w:val="22"/>
              </w:rPr>
              <w:t>.多措并举，定期开展学生（毕业生与在校生）对学习与成长的满意度调查工作</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heme="minorEastAsia" w:hAnsiTheme="minorEastAsia" w:cstheme="minorEastAsia"/>
                <w:kern w:val="0"/>
                <w:sz w:val="22"/>
                <w:szCs w:val="22"/>
              </w:rPr>
              <w:t>6.多措并举，及时发现学生出现的思想政治、道德品质等负面问题并进行妥当处置</w:t>
            </w:r>
            <w:r>
              <w:rPr>
                <w:rFonts w:ascii="Times New Roman" w:hAnsi="Times New Roman" w:cs="Times New Roman"/>
                <w:kern w:val="0"/>
                <w:sz w:val="22"/>
                <w:szCs w:val="22"/>
              </w:rPr>
              <w:t>。</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1.在增强学生理想信念，提高学生品德修养方面的措施与成效，举例说明（5.1.1）；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2.在加强学风建设，教育引导学生爱国、励志、求真、力行方面的措施与成效，举例说明（5.1.2）；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3.在领导干部和教师参与学生工作</w:t>
            </w:r>
            <w:r>
              <w:rPr>
                <w:rFonts w:hint="eastAsia" w:ascii="Times New Roman" w:hAnsi="Times New Roman" w:cs="Times New Roman"/>
                <w:kern w:val="0"/>
                <w:sz w:val="22"/>
                <w:szCs w:val="22"/>
              </w:rPr>
              <w:t>方</w:t>
            </w:r>
            <w:r>
              <w:rPr>
                <w:rFonts w:ascii="Times New Roman" w:hAnsi="Times New Roman" w:cs="Times New Roman"/>
                <w:kern w:val="0"/>
                <w:sz w:val="22"/>
                <w:szCs w:val="22"/>
              </w:rPr>
              <w:t>面的措施与成效，举例说明（5.4.1）；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4.学校开展学生指导服务工作（学业、职业生涯规划、就业、家庭经济困难学生资助、心理健康咨询等）情况，</w:t>
            </w:r>
            <w:r>
              <w:rPr>
                <w:rFonts w:hint="eastAsia" w:ascii="Times New Roman" w:hAnsi="Times New Roman" w:cs="Times New Roman"/>
                <w:kern w:val="0"/>
                <w:sz w:val="22"/>
                <w:szCs w:val="22"/>
              </w:rPr>
              <w:t>在</w:t>
            </w:r>
            <w:r>
              <w:rPr>
                <w:rFonts w:ascii="Times New Roman" w:hAnsi="Times New Roman" w:cs="Times New Roman"/>
                <w:kern w:val="0"/>
                <w:sz w:val="22"/>
                <w:szCs w:val="22"/>
              </w:rPr>
              <w:t>学业导师、心理辅导教师、校医等配备及师生交流活动专门场所建设方面的措施与成效，举例说明（5.4.2）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【必选】确保专职辅导员岗位与在校生比例≥1:200</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【必选】确保专职从事心理健康教育教师与在校生比例≥1:4000且至少2名</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【必选】确保专职就业指导教师和专职就业工作人员与应届毕业生比例≥1:500</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5</w:t>
            </w:r>
            <w:r>
              <w:rPr>
                <w:rFonts w:ascii="Times New Roman" w:hAnsi="Times New Roman" w:cs="Times New Roman"/>
                <w:kern w:val="0"/>
                <w:sz w:val="22"/>
                <w:szCs w:val="22"/>
              </w:rPr>
              <w:t>.学校在学生（毕业生与在校生）对学习与成长的满意度调查方面的措施与成效，举例说明（7.5.1）</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6</w:t>
            </w:r>
            <w:r>
              <w:rPr>
                <w:rFonts w:ascii="Times New Roman" w:hAnsi="Times New Roman" w:cs="Times New Roman"/>
                <w:kern w:val="0"/>
                <w:sz w:val="22"/>
                <w:szCs w:val="22"/>
              </w:rPr>
              <w:t>.学校在对学生出现思想政治、道德品质等负面问题及时发现和妥当处置方面的措施与成效，举例说明（1.2.4）。</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5.1.1学校在加强学生理想信念和提升品德修养方面的举措及成效，广大学生的理想信念、道德品质和行为习惯情况；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5.1.2学校深入学习贯彻习近平总书记在北京大学师生座谈会上的重要讲话精神，教育引导学生为国家发展、为追求真理而勤奋学习、奋发图强情况，学校加强学风建设的举措及成效；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5.4.1学校贯彻落实《中共教育部党组关于加强和改进高校领导干部深入基层联系学生工作的通知》要求，推动领导干部和教师参与学生工作的举措和效果，包括参与面、参与程度及参与效果；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5.4.2学校的学生指导服务体系及场地设施建立情况，包括配备专门教师和校医，提供必须的场地、必要的设备和条件等，学业指导、职业生涯规划指导、就业指导和大学生心理健康咨询等的开展情况，对家庭经济困难学生的资助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通过必选定量指标达标情况及常模数据比较情况，阐述学校的优势与成绩、做法与经验</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7.5.1学校开展的对在校学生和毕业生学习与成长满意度调查情况及结论</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1.2.4学校在对</w:t>
            </w:r>
            <w:r>
              <w:rPr>
                <w:rFonts w:hint="eastAsia" w:ascii="Times New Roman" w:hAnsi="Times New Roman" w:cs="Times New Roman"/>
                <w:kern w:val="0"/>
                <w:sz w:val="22"/>
                <w:szCs w:val="22"/>
              </w:rPr>
              <w:t>学生</w:t>
            </w:r>
            <w:r>
              <w:rPr>
                <w:rFonts w:ascii="Times New Roman" w:hAnsi="Times New Roman" w:cs="Times New Roman"/>
                <w:kern w:val="0"/>
                <w:sz w:val="22"/>
                <w:szCs w:val="22"/>
              </w:rPr>
              <w:t>出现思想政治、道德品质等负面问题的预警机制、应对处置措施及实施情况。</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5.1.1能够证明学生理想信念和品德修养的支撑材料，如相关的文件、制度及执行情况，学生的理想信念、道德品质和行为习惯情况分析，相关的档案、资料等；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5.1.2能够证明学校教育引导学生爱国、励志、求真、力行，加强学风建设的支撑材料，如相关的文件、制度及执行情况，相关的档案、资料，相关的教育引导活动统计分析等；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5.4.1相关的文件、制度及执行情况，领导干部</w:t>
            </w:r>
            <w:r>
              <w:rPr>
                <w:rFonts w:hint="eastAsia" w:ascii="Times New Roman" w:hAnsi="Times New Roman" w:cs="Times New Roman"/>
                <w:kern w:val="0"/>
                <w:sz w:val="22"/>
                <w:szCs w:val="22"/>
              </w:rPr>
              <w:t>和教师</w:t>
            </w:r>
            <w:r>
              <w:rPr>
                <w:rFonts w:ascii="Times New Roman" w:hAnsi="Times New Roman" w:cs="Times New Roman"/>
                <w:kern w:val="0"/>
                <w:sz w:val="22"/>
                <w:szCs w:val="22"/>
              </w:rPr>
              <w:t>参与学生工作情况的统计分析，相关的档案、资料等；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5.4.2能够证明学校开展学生指导服务工作（学业、职业生涯规划、就业、家庭经济困难学生资助、心理健康咨询等）的支撑材料，如相关的文件、制度及执行情况，开展学业指导、职业生涯规划指导、就业指导和大学生心理健康咨询等情况分析，家庭经济困难学生资助情况分析，教师配备、场地、设备和条件分析，相关的档案、资料，定量指标的统计分析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7.5.1在校生学习与成长的满意度调查报告，毕业生学习与成长的满意度调查报告，相关的档案、资料等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1.2.4能够证明学校对学生出现思想政治、道德品质等负面问题及时发现和妥当处置的支撑材料，如相关的文件、制度，相关的会议记录或会议纪要，预警机制，发现的问题及处理结果，相关的档案、资料、媒体报道等。</w:t>
            </w:r>
          </w:p>
        </w:tc>
        <w:tc>
          <w:tcPr>
            <w:tcW w:w="253" w:type="pct"/>
            <w:vMerge w:val="continue"/>
            <w:vAlign w:val="center"/>
          </w:tcPr>
          <w:p>
            <w:pPr>
              <w:widowControl/>
              <w:spacing w:line="300" w:lineRule="exact"/>
              <w:jc w:val="center"/>
              <w:rPr>
                <w:rFonts w:ascii="Times New Roman" w:hAnsi="Times New Roman" w:cs="Times New Roman"/>
                <w:kern w:val="0"/>
                <w:sz w:val="22"/>
                <w:szCs w:val="22"/>
              </w:rPr>
            </w:pPr>
          </w:p>
        </w:tc>
        <w:tc>
          <w:tcPr>
            <w:tcW w:w="270" w:type="pct"/>
            <w:vMerge w:val="continue"/>
            <w:vAlign w:val="center"/>
          </w:tcPr>
          <w:p>
            <w:pPr>
              <w:widowControl/>
              <w:spacing w:line="300" w:lineRule="exact"/>
              <w:jc w:val="center"/>
              <w:rPr>
                <w:rFonts w:ascii="Times New Roman" w:hAnsi="Times New Roman" w:cs="Times New Roman"/>
                <w:kern w:val="0"/>
                <w:sz w:val="22"/>
                <w:szCs w:val="22"/>
              </w:rPr>
            </w:pPr>
          </w:p>
        </w:tc>
        <w:tc>
          <w:tcPr>
            <w:tcW w:w="197" w:type="pct"/>
            <w:vMerge w:val="restar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党委</w:t>
            </w:r>
            <w:r>
              <w:rPr>
                <w:rFonts w:ascii="Times New Roman" w:hAnsi="Times New Roman" w:cs="Times New Roman"/>
                <w:kern w:val="0"/>
                <w:sz w:val="22"/>
                <w:szCs w:val="22"/>
              </w:rPr>
              <w:t>学生工作部</w:t>
            </w:r>
            <w:r>
              <w:rPr>
                <w:rFonts w:hint="eastAsia" w:ascii="Times New Roman" w:hAnsi="Times New Roman" w:cs="Times New Roman"/>
                <w:kern w:val="0"/>
                <w:sz w:val="22"/>
                <w:szCs w:val="22"/>
              </w:rPr>
              <w:t xml:space="preserve"> </w:t>
            </w:r>
            <w:r>
              <w:rPr>
                <w:rFonts w:ascii="Times New Roman" w:hAnsi="Times New Roman" w:cs="Times New Roman"/>
                <w:kern w:val="0"/>
                <w:sz w:val="22"/>
                <w:szCs w:val="22"/>
              </w:rPr>
              <w:t>大学生就业服务中心</w:t>
            </w:r>
          </w:p>
        </w:tc>
        <w:tc>
          <w:tcPr>
            <w:tcW w:w="193" w:type="pct"/>
            <w:vMerge w:val="restar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8</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1.建立毕业生质量持续跟踪评价机制，定期进行跟踪评价；</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2.多措并举，促使毕业生面向学校所服务的区域和行业企业就业，提高就业质量</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【可选】升学率（含国内与国外）</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【可选】应届本科生初次就业率及结构；</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3.梳理近五年专业领域的优秀毕业生十个典型案例，总结培养经验；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4.多措并举，定期开展用人单位的满意度调查工作。</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1.在毕业生质量持续跟踪评价机制建立及跟踪评价结果方面的措施与成效，举例说明（7.1.2）；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2.在毕业生面向学校所服务的区域和行业企业就业情况、就业质量及职业发展方面的措施与成效，举例说明B7.2.2（B2）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【可选】确保升学率（含国内与国外）逐年提高</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【可选】确保应届本科生初次就业率逐年提高、就业结构愈加合理；</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3.近五年专业领域的优秀毕业生十个典型案例及培养经验，举例说明（7.4.3）；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4.学校在用人单位的满意度调查方面的措施与成效，举例说明（7.5.3）。</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7.1.2学校毕业生质量持续跟踪评价机制建立及实施情况，近三年毕业生质量持续跟踪评价结果；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B7.2.2（B2）学校近三年本科毕业生就业情况、就业质量分析，要阐述毕业生面向学校所服务的区域和行业企业就业情况、就业质量及职业发展情况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通过自选定量指标及常模数据比较情况，阐述学校的优势与成绩、做法与经验；</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7.4.3列出近五年专业领域的优秀毕业生十个典型案例，总结其培养经验；</w:t>
            </w:r>
          </w:p>
          <w:p>
            <w:pPr>
              <w:widowControl/>
              <w:spacing w:line="300" w:lineRule="exact"/>
              <w:rPr>
                <w:rFonts w:ascii="Times New Roman" w:hAnsi="Times New Roman" w:cs="Times New Roman"/>
                <w:sz w:val="22"/>
                <w:szCs w:val="22"/>
              </w:rPr>
            </w:pPr>
            <w:r>
              <w:rPr>
                <w:rFonts w:ascii="Times New Roman" w:hAnsi="Times New Roman" w:cs="Times New Roman"/>
                <w:kern w:val="0"/>
                <w:sz w:val="22"/>
                <w:szCs w:val="22"/>
              </w:rPr>
              <w:t>7.5.3开展的用人单位对毕业生满意度调查情况及结论。</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7.1.2相关的文件、制度及执行情况，毕业生质量跟踪调查报告，相关的档案、资料等；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B7.2.2（B2）本科毕业生就业情况分析，就业质量年度报告，相关的档案、资料，定量指标的统计分析等；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7.4.3优秀毕业生典型案例，相关的档案、资料等；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7.5.3用人单位对毕业生满意度调查报告，相关的档案、资料等。</w:t>
            </w:r>
          </w:p>
          <w:p>
            <w:pPr>
              <w:widowControl/>
              <w:spacing w:line="300" w:lineRule="exact"/>
              <w:rPr>
                <w:rFonts w:ascii="Times New Roman" w:hAnsi="Times New Roman" w:cs="Times New Roman"/>
                <w:kern w:val="0"/>
                <w:sz w:val="22"/>
                <w:szCs w:val="22"/>
              </w:rPr>
            </w:pPr>
          </w:p>
        </w:tc>
        <w:tc>
          <w:tcPr>
            <w:tcW w:w="253" w:type="pct"/>
            <w:vMerge w:val="continue"/>
            <w:vAlign w:val="center"/>
          </w:tcPr>
          <w:p>
            <w:pPr>
              <w:widowControl/>
              <w:spacing w:line="300" w:lineRule="exact"/>
              <w:jc w:val="center"/>
              <w:rPr>
                <w:rFonts w:ascii="Times New Roman" w:hAnsi="Times New Roman" w:cs="Times New Roman"/>
                <w:kern w:val="0"/>
                <w:sz w:val="22"/>
                <w:szCs w:val="22"/>
              </w:rPr>
            </w:pPr>
          </w:p>
        </w:tc>
        <w:tc>
          <w:tcPr>
            <w:tcW w:w="270" w:type="pct"/>
            <w:vMerge w:val="continue"/>
            <w:vAlign w:val="center"/>
          </w:tcPr>
          <w:p>
            <w:pPr>
              <w:widowControl/>
              <w:spacing w:line="300" w:lineRule="exact"/>
              <w:jc w:val="center"/>
              <w:rPr>
                <w:rFonts w:ascii="Times New Roman" w:hAnsi="Times New Roman" w:cs="Times New Roman"/>
                <w:kern w:val="0"/>
                <w:sz w:val="22"/>
                <w:szCs w:val="22"/>
              </w:rPr>
            </w:pPr>
          </w:p>
        </w:tc>
        <w:tc>
          <w:tcPr>
            <w:tcW w:w="197" w:type="pct"/>
            <w:vMerge w:val="continue"/>
            <w:vAlign w:val="center"/>
          </w:tcPr>
          <w:p>
            <w:pPr>
              <w:widowControl/>
              <w:spacing w:line="300" w:lineRule="exact"/>
              <w:jc w:val="center"/>
              <w:rPr>
                <w:rFonts w:ascii="Times New Roman" w:hAnsi="Times New Roman" w:cs="Times New Roman"/>
                <w:kern w:val="0"/>
                <w:sz w:val="22"/>
                <w:szCs w:val="22"/>
              </w:rPr>
            </w:pPr>
          </w:p>
        </w:tc>
        <w:tc>
          <w:tcPr>
            <w:tcW w:w="193" w:type="pct"/>
            <w:vMerge w:val="continue"/>
            <w:vAlign w:val="center"/>
          </w:tcPr>
          <w:p>
            <w:pPr>
              <w:widowControl/>
              <w:spacing w:line="300" w:lineRule="exact"/>
              <w:jc w:val="center"/>
              <w:rPr>
                <w:rFonts w:ascii="Times New Roman" w:hAnsi="Times New Roman"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9</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1.多措并举，积极开展社团活动、校园文化、社会实践、志愿服务等活动</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【可选】省级以上艺术展演、体育竞赛参赛获奖学生人次数占学生总数的比例</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2</w:t>
            </w:r>
            <w:r>
              <w:rPr>
                <w:rFonts w:ascii="Times New Roman" w:hAnsi="Times New Roman" w:cs="Times New Roman"/>
                <w:kern w:val="0"/>
                <w:sz w:val="22"/>
                <w:szCs w:val="22"/>
              </w:rPr>
              <w:t>.多措并举，探索学生成长增值评价，重视学生学习体验、自我发展能力和职业发展能力的养成</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1.在社团活动、校园文化、社会实践、志愿服务等活动开展方面的措施与成效，举例说明（5.2.3）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【可选】确保省级以上艺术展演、体育竞赛参赛获奖学生人次数占学生总数的比例逐年提高</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2</w:t>
            </w:r>
            <w:r>
              <w:rPr>
                <w:rFonts w:ascii="Times New Roman" w:hAnsi="Times New Roman" w:cs="Times New Roman"/>
                <w:kern w:val="0"/>
                <w:sz w:val="22"/>
                <w:szCs w:val="22"/>
              </w:rPr>
              <w:t>.在探索学生成长增值评价，重视学生学习体验、自我发展能力和职业发展能力的养成方面的措施与成效，举例说明（K5.4.4）</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5.2.3学校为培养学生的综合素质所开展的社团活动、校园环境和校园文化建设、社会实践、志愿服务等活动的情况及取得的效果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通过自选定量指标及常模数据比较情况，阐述学校的优势与成绩、做法与经验</w:t>
            </w:r>
          </w:p>
          <w:p>
            <w:pPr>
              <w:rPr>
                <w:rFonts w:ascii="Times New Roman" w:hAnsi="Times New Roman" w:cs="Times New Roman"/>
                <w:sz w:val="22"/>
                <w:szCs w:val="22"/>
              </w:rPr>
            </w:pPr>
            <w:r>
              <w:rPr>
                <w:rFonts w:ascii="Times New Roman" w:hAnsi="Times New Roman" w:cs="Times New Roman"/>
                <w:sz w:val="22"/>
                <w:szCs w:val="22"/>
              </w:rPr>
              <w:t>【可选】省级以上艺术展演、体育竞赛参赛获奖学生人次数占学生总数的比例</w:t>
            </w:r>
          </w:p>
          <w:p>
            <w:pPr>
              <w:rPr>
                <w:rFonts w:ascii="Times New Roman" w:hAnsi="Times New Roman" w:cs="Times New Roman"/>
                <w:sz w:val="22"/>
                <w:szCs w:val="22"/>
              </w:rPr>
            </w:pPr>
            <w:r>
              <w:rPr>
                <w:rFonts w:ascii="Times New Roman" w:hAnsi="Times New Roman" w:cs="Times New Roman"/>
                <w:sz w:val="22"/>
                <w:szCs w:val="22"/>
              </w:rPr>
              <w:t>说明</w:t>
            </w:r>
            <w:r>
              <w:rPr>
                <w:rFonts w:hint="eastAsia" w:ascii="Times New Roman" w:hAnsi="Times New Roman" w:cs="Times New Roman"/>
                <w:sz w:val="22"/>
                <w:szCs w:val="22"/>
              </w:rPr>
              <w:t>：</w:t>
            </w:r>
            <w:r>
              <w:rPr>
                <w:rFonts w:hint="eastAsia" w:ascii="Times New Roman" w:hAnsi="Times New Roman" w:eastAsia="宋体" w:cs="Times New Roman"/>
                <w:sz w:val="22"/>
                <w:szCs w:val="22"/>
              </w:rPr>
              <w:t>“</w:t>
            </w:r>
            <w:r>
              <w:rPr>
                <w:rFonts w:ascii="Times New Roman" w:hAnsi="Times New Roman" w:cs="Times New Roman"/>
                <w:sz w:val="22"/>
                <w:szCs w:val="22"/>
              </w:rPr>
              <w:t>四位一体</w:t>
            </w:r>
            <w:r>
              <w:rPr>
                <w:rFonts w:hint="eastAsia" w:ascii="Times New Roman" w:hAnsi="Times New Roman" w:eastAsia="宋体" w:cs="Times New Roman"/>
                <w:sz w:val="22"/>
                <w:szCs w:val="22"/>
              </w:rPr>
              <w:t>”</w:t>
            </w:r>
            <w:r>
              <w:rPr>
                <w:rFonts w:ascii="Times New Roman" w:hAnsi="Times New Roman" w:cs="Times New Roman"/>
                <w:sz w:val="22"/>
                <w:szCs w:val="22"/>
              </w:rPr>
              <w:t>机制：教育部《关于切实加强新时代高等学校美育工作的意见》（教体艺[2019]2号）普通高校要强化面向全体学生的普及艺术教育。完善课程教学、实践活动、校园文化、艺术展演</w:t>
            </w:r>
            <w:r>
              <w:rPr>
                <w:rFonts w:hint="eastAsia" w:ascii="Times New Roman" w:hAnsi="Times New Roman" w:eastAsia="宋体" w:cs="Times New Roman"/>
                <w:sz w:val="22"/>
                <w:szCs w:val="22"/>
              </w:rPr>
              <w:t>“</w:t>
            </w:r>
            <w:r>
              <w:rPr>
                <w:rFonts w:ascii="Times New Roman" w:hAnsi="Times New Roman" w:cs="Times New Roman"/>
                <w:sz w:val="22"/>
                <w:szCs w:val="22"/>
              </w:rPr>
              <w:t>四位一体</w:t>
            </w:r>
            <w:r>
              <w:rPr>
                <w:rFonts w:hint="eastAsia" w:ascii="Times New Roman" w:hAnsi="Times New Roman" w:eastAsia="宋体" w:cs="Times New Roman"/>
                <w:sz w:val="22"/>
                <w:szCs w:val="22"/>
              </w:rPr>
              <w:t>”</w:t>
            </w:r>
            <w:r>
              <w:rPr>
                <w:rFonts w:ascii="Times New Roman" w:hAnsi="Times New Roman" w:cs="Times New Roman"/>
                <w:sz w:val="22"/>
                <w:szCs w:val="22"/>
              </w:rPr>
              <w:t>的普及艺术教育推进机制……全国大学生艺术展演、</w:t>
            </w:r>
            <w:r>
              <w:rPr>
                <w:rFonts w:hint="eastAsia" w:ascii="Times New Roman" w:hAnsi="Times New Roman" w:eastAsia="宋体" w:cs="Times New Roman"/>
                <w:sz w:val="22"/>
                <w:szCs w:val="22"/>
              </w:rPr>
              <w:t>“</w:t>
            </w:r>
            <w:r>
              <w:rPr>
                <w:rFonts w:hint="eastAsia" w:ascii="Times New Roman" w:hAnsi="Times New Roman" w:cs="Times New Roman"/>
                <w:sz w:val="22"/>
                <w:szCs w:val="22"/>
              </w:rPr>
              <w:t>永恒不灭的光</w:t>
            </w:r>
            <w:r>
              <w:rPr>
                <w:rFonts w:hint="eastAsia" w:ascii="Times New Roman" w:hAnsi="Times New Roman" w:eastAsia="宋体" w:cs="Times New Roman"/>
                <w:sz w:val="22"/>
                <w:szCs w:val="22"/>
              </w:rPr>
              <w:t>”</w:t>
            </w:r>
            <w:r>
              <w:rPr>
                <w:rFonts w:ascii="Times New Roman" w:hAnsi="Times New Roman" w:cs="Times New Roman"/>
                <w:sz w:val="22"/>
                <w:szCs w:val="22"/>
              </w:rPr>
              <w:t>等品牌活动</w:t>
            </w:r>
            <w:r>
              <w:rPr>
                <w:rFonts w:hint="eastAsia" w:ascii="Times New Roman" w:hAnsi="Times New Roman" w:cs="Times New Roman"/>
                <w:sz w:val="22"/>
                <w:szCs w:val="22"/>
              </w:rPr>
              <w:t>；</w:t>
            </w:r>
          </w:p>
          <w:p>
            <w:pPr>
              <w:widowControl/>
              <w:spacing w:line="300" w:lineRule="exact"/>
              <w:rPr>
                <w:rFonts w:ascii="Times New Roman" w:hAnsi="Times New Roman" w:cs="Times New Roman"/>
                <w:sz w:val="22"/>
                <w:szCs w:val="22"/>
              </w:rPr>
            </w:pPr>
            <w:r>
              <w:rPr>
                <w:rFonts w:ascii="Times New Roman" w:hAnsi="Times New Roman" w:cs="Times New Roman"/>
                <w:kern w:val="0"/>
                <w:sz w:val="22"/>
                <w:szCs w:val="22"/>
              </w:rPr>
              <w:t>K5.4.4阐述学校探索学生成长增值评价，不仅关注学生学习过程的最后产出，更看重学习过程所带来的增长情况，学校注重学生学习体验，培养学生自我发展能力和职业发展能力的具体措施与成效</w:t>
            </w:r>
            <w:r>
              <w:rPr>
                <w:rFonts w:hint="eastAsia" w:ascii="Times New Roman" w:hAnsi="Times New Roman" w:cs="Times New Roman"/>
                <w:kern w:val="0"/>
                <w:sz w:val="22"/>
                <w:szCs w:val="22"/>
              </w:rPr>
              <w:t>。</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5.2.3开展社团活动、校园文化、社会实践、志愿服务等活动的支撑材料，如相关的文件、制度及执行情况，各种活动的统计分析，相关的档案、资料、媒体报道，定量指标的统计分析等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K5.4.4能够证明学校探索学生成长增值评价，重视学生学习体验、自我发展能力和职业发展能力的支撑材料，如相关的文件、制度及执行情况，相关的档案、资料、媒体报道等</w:t>
            </w:r>
            <w:r>
              <w:rPr>
                <w:rFonts w:hint="eastAsia" w:ascii="Times New Roman" w:hAnsi="Times New Roman" w:cs="Times New Roman"/>
                <w:kern w:val="0"/>
                <w:sz w:val="22"/>
                <w:szCs w:val="22"/>
              </w:rPr>
              <w:t>。</w:t>
            </w:r>
          </w:p>
        </w:tc>
        <w:tc>
          <w:tcPr>
            <w:tcW w:w="253" w:type="pct"/>
            <w:vMerge w:val="continue"/>
            <w:vAlign w:val="center"/>
          </w:tcPr>
          <w:p>
            <w:pPr>
              <w:widowControl/>
              <w:spacing w:line="300" w:lineRule="exact"/>
              <w:jc w:val="center"/>
              <w:rPr>
                <w:rFonts w:ascii="Times New Roman" w:hAnsi="Times New Roman" w:cs="Times New Roman"/>
                <w:kern w:val="0"/>
                <w:sz w:val="22"/>
                <w:szCs w:val="22"/>
              </w:rPr>
            </w:pPr>
          </w:p>
        </w:tc>
        <w:tc>
          <w:tcPr>
            <w:tcW w:w="270" w:type="pct"/>
            <w:vMerge w:val="continue"/>
            <w:vAlign w:val="center"/>
          </w:tcPr>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团委</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pPr>
              <w:widowControl/>
              <w:spacing w:line="300" w:lineRule="exact"/>
              <w:jc w:val="center"/>
              <w:rPr>
                <w:rFonts w:ascii="Times New Roman" w:hAnsi="Times New Roman" w:cs="Times New Roman"/>
                <w:b/>
                <w:bCs/>
                <w:kern w:val="0"/>
                <w:sz w:val="24"/>
              </w:rPr>
            </w:pPr>
            <w:r>
              <w:rPr>
                <w:rFonts w:hint="eastAsia" w:ascii="Times New Roman" w:hAnsi="Times New Roman" w:cs="Times New Roman"/>
                <w:b/>
                <w:bCs/>
                <w:kern w:val="0"/>
                <w:sz w:val="24"/>
              </w:rPr>
              <w:t>10</w:t>
            </w:r>
          </w:p>
        </w:tc>
        <w:tc>
          <w:tcPr>
            <w:tcW w:w="766" w:type="pct"/>
            <w:vAlign w:val="center"/>
          </w:tcPr>
          <w:p>
            <w:pPr>
              <w:widowControl/>
              <w:spacing w:line="300" w:lineRule="exact"/>
              <w:rPr>
                <w:rFonts w:asciiTheme="minorEastAsia" w:hAnsiTheme="minorEastAsia" w:cstheme="minorEastAsia"/>
                <w:kern w:val="0"/>
                <w:sz w:val="22"/>
                <w:szCs w:val="22"/>
              </w:rPr>
            </w:pPr>
            <w:r>
              <w:rPr>
                <w:rFonts w:hint="eastAsia" w:asciiTheme="minorEastAsia" w:hAnsiTheme="minorEastAsia" w:cstheme="minorEastAsia"/>
                <w:kern w:val="0"/>
                <w:sz w:val="22"/>
                <w:szCs w:val="22"/>
              </w:rPr>
              <w:t>1.多措并举，及时发现教师出现的思想政治、道德品质等负面问题并进行妥当处置</w:t>
            </w:r>
          </w:p>
          <w:p>
            <w:pPr>
              <w:widowControl/>
              <w:spacing w:line="300" w:lineRule="exact"/>
              <w:rPr>
                <w:rFonts w:asciiTheme="minorEastAsia" w:hAnsiTheme="minorEastAsia" w:cstheme="minorEastAsia"/>
                <w:kern w:val="0"/>
                <w:sz w:val="22"/>
                <w:szCs w:val="22"/>
              </w:rPr>
            </w:pPr>
            <w:r>
              <w:rPr>
                <w:rFonts w:hint="eastAsia" w:asciiTheme="minorEastAsia" w:hAnsiTheme="minorEastAsia" w:cstheme="minorEastAsia"/>
                <w:kern w:val="0"/>
                <w:sz w:val="22"/>
                <w:szCs w:val="22"/>
              </w:rPr>
              <w:t>2.学校保障把教师思想政治建设放在首位、把师德师风作为评价教师的第一标准，强化师德教育、加强师德宣传、严格考核管理、加强制度建设，落实师德考核贯穿于教育教学全过程；</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3</w:t>
            </w:r>
            <w:r>
              <w:rPr>
                <w:rFonts w:ascii="Times New Roman" w:hAnsi="Times New Roman" w:cs="Times New Roman"/>
                <w:kern w:val="0"/>
                <w:sz w:val="22"/>
                <w:szCs w:val="22"/>
              </w:rPr>
              <w:t>.学校采取措施，确保教师能够争做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四有</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好老师、四个</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引路人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，自觉遵守《新时代高校教师职业行为十项准则》；</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w:t>
            </w:r>
            <w:r>
              <w:rPr>
                <w:rFonts w:ascii="Times New Roman" w:hAnsi="Times New Roman" w:cs="Times New Roman"/>
                <w:kern w:val="0"/>
                <w:sz w:val="22"/>
                <w:szCs w:val="22"/>
              </w:rPr>
              <w:t>.学校重视教师的数量、结构、教学水平、产学研用能力、国际视野、教学投入等方面的工作，加大相关投入，【必选】生师比（要求见备注8），【必选】具有硕士学位、博士学位教师占专任教师比例≥50%</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5.</w:t>
            </w:r>
            <w:r>
              <w:rPr>
                <w:rFonts w:ascii="Times New Roman" w:hAnsi="Times New Roman" w:cs="Times New Roman"/>
                <w:kern w:val="0"/>
                <w:sz w:val="22"/>
                <w:szCs w:val="22"/>
              </w:rPr>
              <w:t>多措并举，加强思想政治理论课教师队伍和思政课程建设，按要求开设</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必选】思政课专任教师与折合在校生比例≥1:350，【必选】专职党务工作人员和思想政治工作人员总数与全校师生人数比例≥1:100，【必选】生均思政工作和党务工作队伍建设专项经费≥20元，【必选】生均网络思政工作专项经费≥40元</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6.</w:t>
            </w:r>
            <w:r>
              <w:rPr>
                <w:rFonts w:ascii="Times New Roman" w:hAnsi="Times New Roman" w:cs="Times New Roman"/>
                <w:kern w:val="0"/>
                <w:sz w:val="22"/>
                <w:szCs w:val="22"/>
              </w:rPr>
              <w:t>多措并举，开展学生指导服务工作（学业、职业生涯规划、就业、家庭经济困难学生资助、心理健康咨询等），加强学业导师、心理辅导教师、校医等配备，为师生交流活动提供专门场所</w:t>
            </w:r>
          </w:p>
          <w:p>
            <w:pPr>
              <w:widowControl/>
              <w:spacing w:line="300" w:lineRule="exact"/>
              <w:rPr>
                <w:rFonts w:ascii="Times New Roman" w:hAnsi="Times New Roman" w:cs="Times New Roman"/>
                <w:b/>
                <w:bCs/>
                <w:kern w:val="0"/>
                <w:sz w:val="22"/>
                <w:szCs w:val="22"/>
              </w:rPr>
            </w:pPr>
            <w:r>
              <w:rPr>
                <w:rFonts w:ascii="Times New Roman" w:hAnsi="Times New Roman" w:cs="Times New Roman"/>
                <w:kern w:val="0"/>
                <w:sz w:val="22"/>
                <w:szCs w:val="22"/>
              </w:rPr>
              <w:t>【必选】专职辅导员岗位与在校生比例≥1:200</w:t>
            </w:r>
          </w:p>
          <w:p>
            <w:pPr>
              <w:widowControl/>
              <w:spacing w:line="300" w:lineRule="exact"/>
              <w:rPr>
                <w:rFonts w:ascii="Times New Roman" w:hAnsi="Times New Roman" w:cs="Times New Roman"/>
                <w:b/>
                <w:bCs/>
                <w:kern w:val="0"/>
                <w:sz w:val="22"/>
                <w:szCs w:val="22"/>
              </w:rPr>
            </w:pPr>
            <w:r>
              <w:rPr>
                <w:rFonts w:ascii="Times New Roman" w:hAnsi="Times New Roman" w:cs="Times New Roman"/>
                <w:kern w:val="0"/>
                <w:sz w:val="22"/>
                <w:szCs w:val="22"/>
              </w:rPr>
              <w:t>【必选】专职从事心理健康教育教师与在校生比例≥1:4000且至少2名</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【必选】专职就业指导教师和专职就业工作人员与应届毕业生比例≥1:500</w:t>
            </w:r>
            <w:r>
              <w:rPr>
                <w:rFonts w:hint="eastAsia" w:ascii="Times New Roman" w:hAnsi="Times New Roman" w:cs="Times New Roman"/>
                <w:kern w:val="0"/>
                <w:sz w:val="22"/>
                <w:szCs w:val="22"/>
              </w:rPr>
              <w:t>。</w:t>
            </w:r>
          </w:p>
        </w:tc>
        <w:tc>
          <w:tcPr>
            <w:tcW w:w="901" w:type="pct"/>
            <w:vAlign w:val="center"/>
          </w:tcPr>
          <w:p>
            <w:pPr>
              <w:rPr>
                <w:rFonts w:ascii="Times New Roman" w:hAnsi="Times New Roman" w:cs="Times New Roman"/>
                <w:kern w:val="0"/>
                <w:sz w:val="22"/>
                <w:szCs w:val="22"/>
              </w:rPr>
            </w:pPr>
            <w:r>
              <w:rPr>
                <w:rFonts w:hint="eastAsia" w:ascii="Times New Roman" w:hAnsi="Times New Roman" w:cs="Times New Roman"/>
                <w:kern w:val="0"/>
                <w:sz w:val="22"/>
                <w:szCs w:val="22"/>
              </w:rPr>
              <w:t>1.</w:t>
            </w:r>
            <w:r>
              <w:rPr>
                <w:rFonts w:ascii="Times New Roman" w:hAnsi="Times New Roman" w:cs="Times New Roman"/>
                <w:kern w:val="0"/>
                <w:sz w:val="22"/>
                <w:szCs w:val="22"/>
              </w:rPr>
              <w:t>学校在对教师出现思想政治、道德品质等负面问题及时发现和妥当处置方面的措施与成效，举例说明（1.2.4）</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2</w:t>
            </w:r>
            <w:r>
              <w:rPr>
                <w:rFonts w:ascii="Times New Roman" w:hAnsi="Times New Roman" w:cs="Times New Roman"/>
                <w:kern w:val="0"/>
                <w:sz w:val="22"/>
                <w:szCs w:val="22"/>
              </w:rPr>
              <w:t>.学校在保障把教师思想政治建设放在首位、把师德师风作为评价教师的第一标准，强化师德教育、加强师德宣传、严格考核管理、加强制度建设，落实师德考核贯穿于教育教学全过程等方面的举措与成效（4.1.1）；</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3</w:t>
            </w:r>
            <w:r>
              <w:rPr>
                <w:rFonts w:ascii="Times New Roman" w:hAnsi="Times New Roman" w:cs="Times New Roman"/>
                <w:kern w:val="0"/>
                <w:sz w:val="22"/>
                <w:szCs w:val="22"/>
              </w:rPr>
              <w:t>.教师在争做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四有</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好老师、四个</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引路人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，自觉遵守《新时代高校教师职业行为十项准则》等方面举措与成效（4.1.2）；</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4</w:t>
            </w:r>
            <w:r>
              <w:rPr>
                <w:rFonts w:ascii="Times New Roman" w:hAnsi="Times New Roman" w:cs="Times New Roman"/>
                <w:kern w:val="0"/>
                <w:sz w:val="22"/>
                <w:szCs w:val="22"/>
              </w:rPr>
              <w:t>.学校在教师的数量、结构、教学水平、产学研用能力、国际视野、教学投入等方面能够满足人才培养需要（7.3.2）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【必选】确保生师比达标（要求见备注8）</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【必选】确保具有硕士学位、博士学位教师占专任教师比例≥50%</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5.</w:t>
            </w:r>
            <w:r>
              <w:rPr>
                <w:rFonts w:ascii="Times New Roman" w:hAnsi="Times New Roman" w:cs="Times New Roman"/>
                <w:kern w:val="0"/>
                <w:sz w:val="22"/>
                <w:szCs w:val="22"/>
              </w:rPr>
              <w:t>在加强思想政治理论课教师队伍和思政课程建设方面及按要求开设</w:t>
            </w:r>
            <w:r>
              <w:rPr>
                <w:rFonts w:hint="eastAsia" w:ascii="Times New Roman" w:hAnsi="Times New Roman"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cs="Times New Roman"/>
                <w:kern w:val="0"/>
                <w:sz w:val="22"/>
                <w:szCs w:val="22"/>
              </w:rPr>
              <w:t>》</w:t>
            </w:r>
            <w:r>
              <w:rPr>
                <w:rFonts w:ascii="Times New Roman" w:hAnsi="Times New Roman" w:cs="Times New Roman"/>
                <w:kern w:val="0"/>
                <w:sz w:val="22"/>
                <w:szCs w:val="22"/>
              </w:rPr>
              <w:t>课程方面的措施与成效，举例说明（1.2.2）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【必选】确保思政课专任教师与折合在校生比例≥1:350</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【必选】确保专职党务工作人员和思想政治工作人员总数与全校师生人数比例≥1:100</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【必选】确保生均思政工作和党务工作队伍建设专项经费≥20元</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【必选】确保生均网络思政工作专项经费≥40元</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6.</w:t>
            </w:r>
            <w:r>
              <w:rPr>
                <w:rFonts w:ascii="Times New Roman" w:hAnsi="Times New Roman" w:cs="Times New Roman"/>
                <w:kern w:val="0"/>
                <w:sz w:val="22"/>
                <w:szCs w:val="22"/>
              </w:rPr>
              <w:t>学校开展学生指导服务工作（学业、职业生涯规划、就业、家庭经济困难学生资助、心理健康咨询等）情况，</w:t>
            </w:r>
            <w:r>
              <w:rPr>
                <w:rFonts w:hint="eastAsia" w:ascii="Times New Roman" w:hAnsi="Times New Roman" w:cs="Times New Roman"/>
                <w:kern w:val="0"/>
                <w:sz w:val="22"/>
                <w:szCs w:val="22"/>
              </w:rPr>
              <w:t>在</w:t>
            </w:r>
            <w:r>
              <w:rPr>
                <w:rFonts w:ascii="Times New Roman" w:hAnsi="Times New Roman" w:cs="Times New Roman"/>
                <w:kern w:val="0"/>
                <w:sz w:val="22"/>
                <w:szCs w:val="22"/>
              </w:rPr>
              <w:t>学业导师、心理辅导教师、校医等配备及师生交流活动专门场所建设方面的措施与成效，举例说明（5.4.2）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【必选】确保专职辅导员岗位与在校生比例≥1:200</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【必选】确保专职从事心理健康教育教师与在校生比例≥1:4000且至少2名</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【必选】确保专职就业指导教师和专职就业工作人员与应届毕业生比例≥1:500。</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1.2.4学校在对</w:t>
            </w:r>
            <w:r>
              <w:rPr>
                <w:rFonts w:hint="eastAsia" w:ascii="Times New Roman" w:hAnsi="Times New Roman" w:cs="Times New Roman"/>
                <w:kern w:val="0"/>
                <w:sz w:val="22"/>
                <w:szCs w:val="22"/>
              </w:rPr>
              <w:t>教师</w:t>
            </w:r>
            <w:r>
              <w:rPr>
                <w:rFonts w:ascii="Times New Roman" w:hAnsi="Times New Roman" w:cs="Times New Roman"/>
                <w:kern w:val="0"/>
                <w:sz w:val="22"/>
                <w:szCs w:val="22"/>
              </w:rPr>
              <w:t>出现思想政治、道德品质等负面问题的预警机制、应对处置措施及实施情况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4.1.1学校教师评价标准的建设情况，师德师风要求体现在学校政策文件中</w:t>
            </w:r>
            <w:r>
              <w:rPr>
                <w:rFonts w:hint="eastAsia" w:ascii="Times New Roman" w:hAnsi="Times New Roman" w:cs="Times New Roman"/>
                <w:kern w:val="0"/>
                <w:sz w:val="22"/>
                <w:szCs w:val="22"/>
              </w:rPr>
              <w:t>的</w:t>
            </w:r>
            <w:r>
              <w:rPr>
                <w:rFonts w:ascii="Times New Roman" w:hAnsi="Times New Roman" w:cs="Times New Roman"/>
                <w:kern w:val="0"/>
                <w:sz w:val="22"/>
                <w:szCs w:val="22"/>
              </w:rPr>
              <w:t>情况，特别是把师德师风作为评价教师第一标准的情况，学校将师德考核标准贯穿于教育教学全过程的措施与成效；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4.1.2.学校促进教师争做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四有</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好老师、四个</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引路人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，自觉遵守《新时代高校教师职业行为十项准则》等方面的制度、举措与成效；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7.3.2学校教师的数量、结构、教学水平、产学研用能力、国际视野、教学投入情况及满足人才培养需要情况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1.2.2学校在思想政治理论课教师队伍和思政课程建设方面的做法和成效，按要求开设</w:t>
            </w:r>
            <w:r>
              <w:rPr>
                <w:rFonts w:hint="eastAsia" w:ascii="Times New Roman" w:hAnsi="Times New Roman"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cs="Times New Roman"/>
                <w:kern w:val="0"/>
                <w:sz w:val="22"/>
                <w:szCs w:val="22"/>
              </w:rPr>
              <w:t>》</w:t>
            </w:r>
            <w:r>
              <w:rPr>
                <w:rFonts w:ascii="Times New Roman" w:hAnsi="Times New Roman" w:cs="Times New Roman"/>
                <w:kern w:val="0"/>
                <w:sz w:val="22"/>
                <w:szCs w:val="22"/>
              </w:rPr>
              <w:t>课程，落实习近平总书记在学校思想政治理论课教师座谈会上的指示，《新时代高等学校思想政治理论课教师队伍建设规定》情况，教育部《高等学校思想政治理论课建设标准》：学校党政主要负责同志每学期至少给学生讲授4个学时思想政治理论课，高校领导班子其他成员每学期至少给学生讲授2个学时思想政治理论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通过必选定量指标及常模数据比较情况，阐述学校的优势与成绩、做法与经验</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5.4.2学校的学生指导服务体系及场地设施建立情况，包括配备专门教师和校医，提供必须的场地、必要的设备和条件等，学业指导、职业生涯规划指导、就业指导和大学生心理健康咨询等的开展情况，对家庭经济困难学生的资助情况</w:t>
            </w:r>
          </w:p>
          <w:p>
            <w:pPr>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通过必选定量指标达标情况及常模数据比较情况，阐述学校的优势与成绩、做法与经验</w:t>
            </w:r>
            <w:r>
              <w:rPr>
                <w:rFonts w:hint="eastAsia" w:ascii="Times New Roman" w:hAnsi="Times New Roman" w:cs="Times New Roman"/>
                <w:kern w:val="0"/>
                <w:sz w:val="22"/>
                <w:szCs w:val="22"/>
              </w:rPr>
              <w:t>。</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1.2.4能够证明学校对教师出现思想政治、道德品质等负面问题及时发现和妥当处置的支撑材料，如相关的文件、制度，相关的会议记录或会议纪要，预警机制，发现的问题及处理结果，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4.1.1能够证明学校把教师思想政治建设放在首位、把师德师风作为评价教师的第一标准，强化师德教育、加强师德宣传、严格考核管理、加强制度建设，落实师德考核贯穿于教育教学全过程的支撑材料，如相关的文件、制度及执行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4.1.2能够证明学校促进教师争做</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四有</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好老师、四个</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引路人</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，自觉遵守《新时代高校教师职业行为十项准则》的支撑材料，如相关的文件、制度及执行情况，相关的档案、资料、媒体报道等；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7.3.2教师基本情况一览表及满足人才培养需要情况分析，</w:t>
            </w:r>
            <w:r>
              <w:rPr>
                <w:rFonts w:hint="eastAsia" w:ascii="Times New Roman" w:hAnsi="Times New Roman" w:cs="Times New Roman"/>
                <w:kern w:val="0"/>
                <w:sz w:val="22"/>
                <w:szCs w:val="22"/>
              </w:rPr>
              <w:t>如</w:t>
            </w:r>
            <w:r>
              <w:rPr>
                <w:rFonts w:ascii="Times New Roman" w:hAnsi="Times New Roman" w:cs="Times New Roman"/>
                <w:kern w:val="0"/>
                <w:sz w:val="22"/>
                <w:szCs w:val="22"/>
              </w:rPr>
              <w:t>相关的档案、资料，定量指标的统计分析等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1.2.2能够证明学校加强思想政治理论课教师队伍建设和思政课程建设的支撑材料，如相关的会议记录或会议纪要，相关的文件、制度及执行情况，</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课程开设情况，相关的档案、资料、媒体报道，各定量指标的统计分析等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5.4.2能够证明学校开展学生指导服务工作（学业、职业生涯规划、就业、家庭经济困难学生资助、心理健康咨询等）的支撑材料，如相关的文件、制度及执行情况，开展学业指导、职业生涯规划指导、就业指导和大学生心理健康咨询等情况分析，家庭经济困难学生资助情况分析，教师配备、场地、设备和条件分析，相关的档案、资料，定量指标的统计分析等</w:t>
            </w:r>
            <w:r>
              <w:rPr>
                <w:rFonts w:hint="eastAsia" w:ascii="Times New Roman" w:hAnsi="Times New Roman" w:cs="Times New Roman"/>
                <w:kern w:val="0"/>
                <w:sz w:val="22"/>
                <w:szCs w:val="22"/>
              </w:rPr>
              <w:t>。</w:t>
            </w:r>
          </w:p>
        </w:tc>
        <w:tc>
          <w:tcPr>
            <w:tcW w:w="25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教师队伍</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tc>
        <w:tc>
          <w:tcPr>
            <w:tcW w:w="270"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杨忠学</w:t>
            </w: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人事处</w:t>
            </w:r>
            <w:r>
              <w:rPr>
                <w:rFonts w:hint="eastAsia" w:ascii="Times New Roman" w:hAnsi="Times New Roman" w:cs="Times New Roman"/>
                <w:kern w:val="0"/>
                <w:sz w:val="22"/>
                <w:szCs w:val="22"/>
              </w:rPr>
              <w:t xml:space="preserve"> 教师工作部</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1</w:t>
            </w:r>
            <w:r>
              <w:rPr>
                <w:rFonts w:hint="eastAsia" w:ascii="Times New Roman" w:hAnsi="Times New Roman" w:cs="Times New Roman"/>
                <w:b/>
                <w:bCs/>
                <w:kern w:val="0"/>
                <w:sz w:val="24"/>
              </w:rPr>
              <w:t>1</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1.学校能够在教学经费、教学资源条件、教师精力投入等方面优先保障本科教学，并建立相应的制度、文件</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【必选】生均年教学日常运行支出≥1200元（备注5）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【必选】教学日常运行支出占经常性预算内教育事业费拨款（205类教育拨款扣除专项拨款）与学费收入之和的比例≥13%（教学日常运行支出统计要求见备注5）；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2.多措并举，增加教学经费，使教室、实验室、图书馆、体育场馆、艺术场馆等资源条件满足教学需要</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【必选】生均本科实验经费（元）</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【必选】生均本科实习经费（元）</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3.</w:t>
            </w:r>
            <w:r>
              <w:rPr>
                <w:rFonts w:ascii="Times New Roman" w:hAnsi="Times New Roman" w:cs="Times New Roman"/>
                <w:kern w:val="0"/>
                <w:sz w:val="22"/>
                <w:szCs w:val="22"/>
              </w:rPr>
              <w:t>多措并举，加强思想政治理论课教师队伍和思政课程建设，按要求开设</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必选】思政课专任教师与折合在校生比例≥1:350，【必选】专职党务工作人员和思想政治工作人员总数与全校师生人数比例≥1:100，【必选】生均思政工作和党务工作队伍建设专项经费≥20元，【必选】生均网络思政工作专项经费≥40元。</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1.学校在教学经费、教学资源条件、教师精力投入等方面优先保障本科教学，能够满足本科教学需要（1.3.3）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【必选】确保生均年教学日常运行支出≥1200元（备注5）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【必选】确保教学日常运行支出占经常性预算内教育事业费拨款（205类教育拨款扣除专项拨款）与学费收入之和的比例≥13%（教学日常运行支出统计要求见备注5）；</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2.在教学经费以及教室、实验室、图书馆、体育场馆、艺术场馆等资源条件满足教学需要方面的措施与成效，举例说明（7.3.1）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【必选】确保生均本科实验经费（元）逐年增加</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【必选】确保生均本科实习经费（元）逐年增加</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hint="eastAsia" w:ascii="Times New Roman" w:hAnsi="Times New Roman" w:cs="Times New Roman"/>
                <w:kern w:val="0"/>
                <w:sz w:val="22"/>
                <w:szCs w:val="22"/>
              </w:rPr>
              <w:t>3.</w:t>
            </w:r>
            <w:r>
              <w:rPr>
                <w:rFonts w:ascii="Times New Roman" w:hAnsi="Times New Roman" w:cs="Times New Roman"/>
                <w:kern w:val="0"/>
                <w:sz w:val="22"/>
                <w:szCs w:val="22"/>
              </w:rPr>
              <w:t>在加强思想政治理论课教师队伍和思政课程建设方面及按要求开设</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课程方面的措施与成效，举例说明（1.2.2）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【必选】确保思政课专任教师与折合在校生比例≥1:350</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【必选】确保专职党务工作人员和思想政治工作人员总数与全校师生人数比例≥1:100</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【必选】确保生均思政工作和党务工作队伍建设专项经费≥20元</w:t>
            </w:r>
            <w:r>
              <w:rPr>
                <w:rFonts w:hint="eastAsia" w:ascii="Times New Roman" w:hAnsi="Times New Roman" w:cs="Times New Roman"/>
                <w:kern w:val="0"/>
                <w:sz w:val="22"/>
                <w:szCs w:val="22"/>
              </w:rPr>
              <w:t>，</w:t>
            </w:r>
            <w:r>
              <w:rPr>
                <w:rFonts w:ascii="Times New Roman" w:hAnsi="Times New Roman" w:cs="Times New Roman"/>
                <w:kern w:val="0"/>
                <w:sz w:val="22"/>
                <w:szCs w:val="22"/>
              </w:rPr>
              <w:t>【必选】确保生均网络思政工作专项经费≥40元。</w:t>
            </w:r>
          </w:p>
          <w:p>
            <w:pPr>
              <w:widowControl/>
              <w:spacing w:line="300" w:lineRule="exact"/>
              <w:rPr>
                <w:rFonts w:ascii="Times New Roman" w:hAnsi="Times New Roman" w:cs="Times New Roman"/>
                <w:kern w:val="0"/>
                <w:sz w:val="22"/>
                <w:szCs w:val="22"/>
              </w:rPr>
            </w:pP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1.3.3通过必选定量指标及常模数据比较情况，阐述学校的优势与成绩、做法与经验</w:t>
            </w:r>
          </w:p>
          <w:p>
            <w:pPr>
              <w:rPr>
                <w:rFonts w:ascii="Times New Roman" w:hAnsi="Times New Roman" w:cs="Times New Roman"/>
                <w:kern w:val="0"/>
                <w:sz w:val="22"/>
                <w:szCs w:val="22"/>
              </w:rPr>
            </w:pPr>
            <w:r>
              <w:rPr>
                <w:rFonts w:ascii="Times New Roman" w:hAnsi="Times New Roman" w:cs="Times New Roman"/>
                <w:kern w:val="0"/>
                <w:sz w:val="22"/>
                <w:szCs w:val="22"/>
              </w:rPr>
              <w:t>【必选】生均年教学日常运行支出≥1200元</w:t>
            </w:r>
          </w:p>
          <w:p>
            <w:pPr>
              <w:rPr>
                <w:rFonts w:ascii="Times New Roman" w:hAnsi="Times New Roman" w:cs="Times New Roman"/>
                <w:kern w:val="0"/>
                <w:sz w:val="22"/>
                <w:szCs w:val="22"/>
              </w:rPr>
            </w:pPr>
            <w:r>
              <w:rPr>
                <w:rFonts w:ascii="Times New Roman" w:hAnsi="Times New Roman" w:cs="Times New Roman"/>
                <w:kern w:val="0"/>
                <w:sz w:val="22"/>
                <w:szCs w:val="22"/>
              </w:rPr>
              <w:t>说明1：（方案指标体系的备注5）生均年教学日常运行支出=教学日常运行支出/折合在校生数。（合格标准≥1000元）</w:t>
            </w:r>
          </w:p>
          <w:p>
            <w:pPr>
              <w:rPr>
                <w:rFonts w:ascii="Times New Roman" w:hAnsi="Times New Roman" w:cs="Times New Roman"/>
                <w:kern w:val="0"/>
                <w:sz w:val="22"/>
                <w:szCs w:val="22"/>
              </w:rPr>
            </w:pPr>
            <w:r>
              <w:rPr>
                <w:rFonts w:ascii="Times New Roman" w:hAnsi="Times New Roman" w:cs="Times New Roman"/>
                <w:kern w:val="0"/>
                <w:sz w:val="22"/>
                <w:szCs w:val="22"/>
              </w:rPr>
              <w:t>说明2：</w:t>
            </w:r>
            <w:r>
              <w:rPr>
                <w:rFonts w:hint="eastAsia" w:ascii="Times New Roman" w:hAnsi="Times New Roman" w:cs="Times New Roman"/>
                <w:kern w:val="0"/>
                <w:sz w:val="22"/>
                <w:szCs w:val="22"/>
              </w:rPr>
              <w:t>教</w:t>
            </w:r>
            <w:r>
              <w:rPr>
                <w:rFonts w:ascii="Times New Roman" w:hAnsi="Times New Roman" w:cs="Times New Roman"/>
                <w:kern w:val="0"/>
                <w:sz w:val="22"/>
                <w:szCs w:val="22"/>
              </w:rPr>
              <w:t>学日常运行支出：指学校开展普通本专科教学活动及其辅助活动发生的支出，仅指教学基本支出中的商品和服务支出（302类）（不含教学专项拨款支出及教师工资和课酬），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rPr>
                <w:rFonts w:ascii="Times New Roman" w:hAnsi="Times New Roman" w:cs="Times New Roman"/>
                <w:kern w:val="0"/>
                <w:sz w:val="22"/>
                <w:szCs w:val="22"/>
              </w:rPr>
            </w:pPr>
            <w:r>
              <w:rPr>
                <w:rFonts w:ascii="Times New Roman" w:hAnsi="Times New Roman" w:cs="Times New Roman"/>
                <w:kern w:val="0"/>
                <w:sz w:val="22"/>
                <w:szCs w:val="22"/>
              </w:rPr>
              <w:t>【必选】教学日常运行支出占经常性预算内教育事业费拨款（205类教育拨款扣除专项拨款）与学费收入之和的比例≥13%</w:t>
            </w:r>
          </w:p>
          <w:p>
            <w:pPr>
              <w:rPr>
                <w:rFonts w:ascii="Times New Roman" w:hAnsi="Times New Roman" w:cs="Times New Roman"/>
                <w:kern w:val="0"/>
                <w:sz w:val="22"/>
                <w:szCs w:val="22"/>
              </w:rPr>
            </w:pPr>
            <w:r>
              <w:rPr>
                <w:rFonts w:ascii="Times New Roman" w:hAnsi="Times New Roman" w:cs="Times New Roman"/>
                <w:kern w:val="0"/>
                <w:sz w:val="22"/>
                <w:szCs w:val="22"/>
              </w:rPr>
              <w:t>说明1：2004年教育部《普通高等学校基本办学条件指标（试行）》（教发[2004]2号）</w:t>
            </w:r>
          </w:p>
          <w:p>
            <w:pPr>
              <w:rPr>
                <w:rFonts w:ascii="Times New Roman" w:hAnsi="Times New Roman" w:cs="Times New Roman"/>
                <w:kern w:val="0"/>
                <w:sz w:val="22"/>
                <w:szCs w:val="22"/>
              </w:rPr>
            </w:pPr>
            <w:r>
              <w:rPr>
                <w:rFonts w:ascii="Times New Roman" w:hAnsi="Times New Roman" w:cs="Times New Roman"/>
                <w:kern w:val="0"/>
                <w:sz w:val="22"/>
                <w:szCs w:val="22"/>
              </w:rPr>
              <w:t>说明2：教育部2001年</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4号文件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：日常教学经费不低于20%的学费收入，</w:t>
            </w:r>
          </w:p>
          <w:p>
            <w:pPr>
              <w:rPr>
                <w:rFonts w:ascii="Times New Roman" w:hAnsi="Times New Roman" w:cs="Times New Roman"/>
                <w:kern w:val="0"/>
                <w:sz w:val="22"/>
                <w:szCs w:val="22"/>
              </w:rPr>
            </w:pPr>
            <w:r>
              <w:rPr>
                <w:rFonts w:ascii="Times New Roman" w:hAnsi="Times New Roman" w:cs="Times New Roman"/>
                <w:kern w:val="0"/>
                <w:sz w:val="22"/>
                <w:szCs w:val="22"/>
              </w:rPr>
              <w:t>说明3：20210913版《指南—通用篇》P30-31</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表2-8-2教育经费收支情况（自然年）</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12个类别；</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7.3.1学校近三年教学经费投入情况，学校教室、实验室、图书馆、体育场馆、艺术场馆等资源条件满足教学需要情况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通过必选定量指标达标情况及常模数据比较情况，阐述学校的优势与成绩、做法与经验</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1.2.2学校在思想政治理论课教师队伍和思政课程建设方面的做法和成效，按要求开设</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落实习近平总书记在学校思想政治理论课教师座谈会上的指示，《新时代高等学校思想政治理论课教师队伍建设规定》情况，教育部《高等学校思想政治理论课建设标准》：学校党政主要负责同志每学期至少给学生讲授4个学时思想政治理论课，高校领导班子其他成员每学期至少给学生讲授2个学</w:t>
            </w:r>
            <w:bookmarkStart w:id="4" w:name="_GoBack"/>
            <w:bookmarkEnd w:id="4"/>
            <w:r>
              <w:rPr>
                <w:rFonts w:ascii="Times New Roman" w:hAnsi="Times New Roman" w:cs="Times New Roman"/>
                <w:kern w:val="0"/>
                <w:sz w:val="22"/>
                <w:szCs w:val="22"/>
              </w:rPr>
              <w:t>时思想政治理论课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通过必选定量指标及常模数据比较情况，阐述学校的优势与成绩、做法与经验。</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1.3.3能够证明教学经费、教学资源条件、教师精力投入等优先保障本科教学的支撑材料，如相关的会议记录或会议纪要，相关的文件、制度及执行情况，相关的档案、资料，各定量指标的统计分析等；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7.3.1教学经费投入情况一览表及分析，教学资源（教室、实验室、图书馆、体育场馆、艺术场馆等）条件情况一览表及分析，相关的档案、资料，定量指标的统计分析等</w:t>
            </w:r>
            <w:r>
              <w:rPr>
                <w:rFonts w:hint="eastAsia" w:ascii="Times New Roman" w:hAnsi="Times New Roman" w:cs="Times New Roman"/>
                <w:kern w:val="0"/>
                <w:sz w:val="22"/>
                <w:szCs w:val="22"/>
              </w:rPr>
              <w:t>；</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1.2.2能够证明学校加强思想政治理论课教师队伍建设和思政课程建设的支撑材料，如相关的会议记录或会议纪要，相关的文件、制度及执行情况，</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习近平总书记关于教育的重要论述研究</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课程开设情况，相关的档案、资料、媒体报道，各定量指标的统计分析等。</w:t>
            </w:r>
          </w:p>
          <w:p>
            <w:pPr>
              <w:widowControl/>
              <w:spacing w:line="300" w:lineRule="exact"/>
              <w:rPr>
                <w:rFonts w:ascii="Times New Roman" w:hAnsi="Times New Roman" w:cs="Times New Roman"/>
                <w:kern w:val="0"/>
                <w:sz w:val="22"/>
                <w:szCs w:val="22"/>
              </w:rPr>
            </w:pPr>
          </w:p>
        </w:tc>
        <w:tc>
          <w:tcPr>
            <w:tcW w:w="25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教学经费投入</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tc>
        <w:tc>
          <w:tcPr>
            <w:tcW w:w="270"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臧永军</w:t>
            </w:r>
          </w:p>
          <w:p>
            <w:pPr>
              <w:widowControl/>
              <w:spacing w:line="300" w:lineRule="exact"/>
              <w:jc w:val="center"/>
              <w:rPr>
                <w:rFonts w:ascii="Times New Roman" w:hAnsi="Times New Roman" w:cs="Times New Roman"/>
                <w:kern w:val="0"/>
                <w:sz w:val="22"/>
                <w:szCs w:val="22"/>
              </w:rPr>
            </w:pP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财务处</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 w:type="pct"/>
            <w:vAlign w:val="center"/>
          </w:tcPr>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1</w:t>
            </w:r>
            <w:r>
              <w:rPr>
                <w:rFonts w:hint="eastAsia" w:ascii="Times New Roman" w:hAnsi="Times New Roman" w:cs="Times New Roman"/>
                <w:b/>
                <w:bCs/>
                <w:kern w:val="0"/>
                <w:sz w:val="24"/>
              </w:rPr>
              <w:t>2</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1.学校能够在教学经费、教学资源条件、教师精力投入等方面优先保障本科教学，并建立相应的制度、文件</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【必选】年新增教学科研仪器设备值所占比例（要求见备注6）</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【必选】生均教学科研仪器设备值（要求见备注7）。</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w:t>
            </w:r>
            <w:bookmarkStart w:id="2" w:name="_Hlk147833021"/>
            <w:r>
              <w:rPr>
                <w:rFonts w:ascii="Times New Roman" w:hAnsi="Times New Roman" w:cs="Times New Roman"/>
                <w:kern w:val="0"/>
                <w:sz w:val="22"/>
                <w:szCs w:val="22"/>
              </w:rPr>
              <w:t>.学校在教学经费、教学资源条件、教师精力投入等方面优先保障本科教学，能够满足本科教学需要（1.3.3）</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【必选】确保年新增教学科研仪器设备值所占比例不断提高（要求见备注6）</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【必选】确保生均教学科研仪器设备值不断增加（要求见备注7）。</w:t>
            </w:r>
            <w:bookmarkEnd w:id="2"/>
          </w:p>
        </w:tc>
        <w:tc>
          <w:tcPr>
            <w:tcW w:w="1336" w:type="pct"/>
            <w:vAlign w:val="center"/>
          </w:tcPr>
          <w:p>
            <w:pPr>
              <w:rPr>
                <w:rFonts w:ascii="Times New Roman" w:hAnsi="Times New Roman" w:cs="Times New Roman"/>
                <w:kern w:val="0"/>
                <w:sz w:val="22"/>
                <w:szCs w:val="22"/>
              </w:rPr>
            </w:pPr>
            <w:r>
              <w:rPr>
                <w:rFonts w:ascii="Times New Roman" w:hAnsi="Times New Roman" w:cs="Times New Roman"/>
                <w:kern w:val="0"/>
                <w:sz w:val="22"/>
                <w:szCs w:val="22"/>
              </w:rPr>
              <w:t>1.3.3【必选】年新增教学科研仪器设备值所占比例≥10%</w:t>
            </w:r>
          </w:p>
          <w:p>
            <w:pPr>
              <w:rPr>
                <w:rFonts w:ascii="Times New Roman" w:hAnsi="Times New Roman" w:cs="Times New Roman"/>
                <w:kern w:val="0"/>
                <w:sz w:val="22"/>
                <w:szCs w:val="22"/>
              </w:rPr>
            </w:pPr>
            <w:r>
              <w:rPr>
                <w:rFonts w:ascii="Times New Roman" w:hAnsi="Times New Roman" w:cs="Times New Roman"/>
                <w:kern w:val="0"/>
                <w:sz w:val="22"/>
                <w:szCs w:val="22"/>
              </w:rPr>
              <w:t>说明1：2004年教育部《普通高等学校基本办学条件指标（试行）》（教发[2004]2号）：凡教学仪器设备总值超过1亿元的高校，当年新增教学仪器设备值超过1000万元，该项指标即为合格。</w:t>
            </w:r>
          </w:p>
          <w:p>
            <w:pPr>
              <w:rPr>
                <w:rFonts w:ascii="Times New Roman" w:hAnsi="Times New Roman" w:cs="Times New Roman"/>
                <w:kern w:val="0"/>
                <w:sz w:val="22"/>
                <w:szCs w:val="22"/>
              </w:rPr>
            </w:pPr>
            <w:r>
              <w:rPr>
                <w:rFonts w:ascii="Times New Roman" w:hAnsi="Times New Roman" w:cs="Times New Roman"/>
                <w:kern w:val="0"/>
                <w:sz w:val="22"/>
                <w:szCs w:val="22"/>
              </w:rPr>
              <w:t>【必选】生均教学科研仪器设备值≥5000元/生</w:t>
            </w:r>
          </w:p>
          <w:p>
            <w:pPr>
              <w:rPr>
                <w:rFonts w:ascii="Times New Roman" w:hAnsi="Times New Roman" w:cs="Times New Roman"/>
                <w:kern w:val="0"/>
                <w:sz w:val="22"/>
                <w:szCs w:val="22"/>
              </w:rPr>
            </w:pPr>
            <w:r>
              <w:rPr>
                <w:rFonts w:ascii="Times New Roman" w:hAnsi="Times New Roman" w:cs="Times New Roman"/>
                <w:kern w:val="0"/>
                <w:sz w:val="22"/>
                <w:szCs w:val="22"/>
              </w:rPr>
              <w:t>说明1：2004年教育部《普通高等学校基本办学条件指标（试行）》（教发[2004]2号）</w:t>
            </w:r>
            <w:r>
              <w:rPr>
                <w:rFonts w:hint="eastAsia" w:ascii="Times New Roman" w:hAnsi="Times New Roman" w:cs="Times New Roman"/>
                <w:kern w:val="0"/>
                <w:sz w:val="22"/>
                <w:szCs w:val="22"/>
              </w:rPr>
              <w:t>；</w:t>
            </w:r>
            <w:r>
              <w:rPr>
                <w:rFonts w:ascii="Times New Roman" w:hAnsi="Times New Roman" w:cs="Times New Roman"/>
                <w:kern w:val="0"/>
                <w:sz w:val="22"/>
                <w:szCs w:val="22"/>
              </w:rPr>
              <w:t>说明2：方案备注7：生均教学科研仪器设备值=普通高校教学与科研仪器设备总资产值/折合在校生数（参照教育部教发[2004]2号文件），综合、师范、民族院校，工科、农、林院校和医学院校≥5000元/生，体育、艺术院校≥4000元/生，语文、财经、政法院校≥3000元/生。</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1.3.3能够证明教学科研仪器设备满足正常教学运行，符合该项指标数据的相关文件、制度及执行情况，相关的档案、资料，各定量指标的统计分析等。</w:t>
            </w:r>
          </w:p>
        </w:tc>
        <w:tc>
          <w:tcPr>
            <w:tcW w:w="25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仪器设备及</w:t>
            </w:r>
            <w:r>
              <w:rPr>
                <w:rFonts w:hint="eastAsia" w:ascii="Times New Roman" w:hAnsi="Times New Roman" w:cs="Times New Roman"/>
                <w:kern w:val="0"/>
                <w:sz w:val="22"/>
                <w:szCs w:val="22"/>
              </w:rPr>
              <w:t>物资</w:t>
            </w:r>
            <w:r>
              <w:rPr>
                <w:rFonts w:ascii="Times New Roman" w:hAnsi="Times New Roman" w:cs="Times New Roman"/>
                <w:kern w:val="0"/>
                <w:sz w:val="22"/>
                <w:szCs w:val="22"/>
              </w:rPr>
              <w:t>保障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tc>
        <w:tc>
          <w:tcPr>
            <w:tcW w:w="270"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林屹</w:t>
            </w:r>
          </w:p>
        </w:tc>
        <w:tc>
          <w:tcPr>
            <w:tcW w:w="197" w:type="pct"/>
            <w:vAlign w:val="center"/>
          </w:tcPr>
          <w:p>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国有资产管理处</w:t>
            </w:r>
          </w:p>
        </w:tc>
        <w:tc>
          <w:tcPr>
            <w:tcW w:w="193" w:type="pct"/>
            <w:vAlign w:val="center"/>
          </w:tcPr>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8" w:hRule="atLeast"/>
        </w:trPr>
        <w:tc>
          <w:tcPr>
            <w:tcW w:w="171" w:type="pct"/>
            <w:vAlign w:val="center"/>
          </w:tcPr>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p>
          <w:p>
            <w:pPr>
              <w:widowControl/>
              <w:spacing w:line="300" w:lineRule="exact"/>
              <w:jc w:val="center"/>
              <w:rPr>
                <w:rFonts w:ascii="Times New Roman" w:hAnsi="Times New Roman" w:cs="Times New Roman"/>
                <w:b/>
                <w:bCs/>
                <w:kern w:val="0"/>
                <w:sz w:val="24"/>
              </w:rPr>
            </w:pPr>
            <w:r>
              <w:rPr>
                <w:rFonts w:ascii="Times New Roman" w:hAnsi="Times New Roman" w:cs="Times New Roman"/>
                <w:b/>
                <w:bCs/>
                <w:kern w:val="0"/>
                <w:sz w:val="24"/>
              </w:rPr>
              <w:t>1</w:t>
            </w:r>
            <w:r>
              <w:rPr>
                <w:rFonts w:hint="eastAsia" w:ascii="Times New Roman" w:hAnsi="Times New Roman" w:cs="Times New Roman"/>
                <w:b/>
                <w:bCs/>
                <w:kern w:val="0"/>
                <w:sz w:val="24"/>
              </w:rPr>
              <w:t>3</w:t>
            </w:r>
          </w:p>
        </w:tc>
        <w:tc>
          <w:tcPr>
            <w:tcW w:w="76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1.加强质量标准、质量管理制度、质量保障机构及队伍建设；</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2.建立健全内部质量评估制度及接受外部评估（含院校评估、专业认证等）；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3.建立健全质量持续改进机制，提高改进效果；</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4.建立健全自觉、自省、自律、自查、自纠的质量文化；</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5.建立质量信息公开制度，撰写年度质量报告</w:t>
            </w:r>
            <w:r>
              <w:rPr>
                <w:rFonts w:hint="eastAsia" w:ascii="Times New Roman" w:hAnsi="Times New Roman" w:cs="Times New Roman"/>
                <w:kern w:val="0"/>
                <w:sz w:val="22"/>
                <w:szCs w:val="22"/>
              </w:rPr>
              <w:t>。</w:t>
            </w:r>
          </w:p>
        </w:tc>
        <w:tc>
          <w:tcPr>
            <w:tcW w:w="901"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1.学校在质量标准、质量管理制度、质量保障机构及队伍建设方面的措施与成效（6.1.1）；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2.学校在内部质量评估制度的建立及接受外部评估（含院校评估、专业认证等）方面的措施与成效，举例说明（6.2.1）；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3.学校在质量持续改进机制建设与改进效果方面的措施与成效，举例说明（6.2.2）；</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4.学校在自觉、自省、自律、自查、自纠的质量文化建设方面的措施与成效，举例说明（6.3.1）；</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5.学校在质量信息公开制度建立及年度质量报告撰写方面的措施与成效，举例说明（6.3.2）。</w:t>
            </w:r>
          </w:p>
        </w:tc>
        <w:tc>
          <w:tcPr>
            <w:tcW w:w="1336"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6.1.1学校根据自身办学定位和人才培养目标，构建的各教学环节（课堂教学、实习、实验、毕业设计等）质量标准情况，质量管理制度文件的制定及执行情况，学校质量保障机构设置及质量监控、督导队伍建设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6.2.1学校内部质量监测与评估机制建设及运行情况，包括定期开展的评教、评学以及二级学院的教学工作评估、专业评估、课程评估等，学校参加教育行政部门、社会第三方组织的外部教学评估，包括院校评估、专业认证等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6.2.2学校制定的持续改进机制</w:t>
            </w:r>
            <w:r>
              <w:rPr>
                <w:rFonts w:hint="eastAsia" w:ascii="Times New Roman" w:hAnsi="Times New Roman" w:cs="Times New Roman"/>
                <w:kern w:val="0"/>
                <w:sz w:val="22"/>
                <w:szCs w:val="22"/>
              </w:rPr>
              <w:t>及</w:t>
            </w:r>
            <w:r>
              <w:rPr>
                <w:rFonts w:ascii="Times New Roman" w:hAnsi="Times New Roman" w:cs="Times New Roman"/>
                <w:kern w:val="0"/>
                <w:sz w:val="22"/>
                <w:szCs w:val="22"/>
              </w:rPr>
              <w:t>运行情况，对内部、外部教学评估中存在的问题，制定改进方案，质量改进取得的成效；</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6.3.1学校加强自觉、自省、自律、自查、自纠的质量文化建设情况；</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6.3.2学校质量信息公开制度建立与执行情况，学校年度《本科教学质量报告》发布以及信息内容的真实、准确、及时和全面性情况，学校各专业培养目标、毕业要求、课程教学大纲公开的途径及面向师生宣传贯彻的成效。</w:t>
            </w:r>
          </w:p>
        </w:tc>
        <w:tc>
          <w:tcPr>
            <w:tcW w:w="912"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6.1.1各教学环节质量标准、质量管理文件、制度及执行情况，校、院、系各级教学质量保障机构设置、人员构成、职能及运行情况，校院两级教学督导队伍一览表，相关的档案、资料等；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6.2.1相关的文件、制度及执行情况，评教、评学、院部评估、专业评估、课程评估等内部评估及结果分析，参加的外部评估情况及评估结果，相关的档案、资料等；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6.2.2相关的文件、制度及执行情况，相关的档案、资料等；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6.3.1相关的文件、制度及执行情况，相关的会议记录或会议纪要，相关的档案、资料等；</w:t>
            </w:r>
          </w:p>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6.3.2相关的文件、制度及执行情况，相关的档案、资料等。</w:t>
            </w:r>
          </w:p>
        </w:tc>
        <w:tc>
          <w:tcPr>
            <w:tcW w:w="253" w:type="pc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质量保障</w:t>
            </w:r>
            <w:r>
              <w:rPr>
                <w:rFonts w:hint="eastAsia" w:ascii="Times New Roman" w:hAnsi="Times New Roman" w:eastAsia="宋体" w:cs="Times New Roman"/>
                <w:kern w:val="0"/>
                <w:sz w:val="22"/>
                <w:szCs w:val="22"/>
              </w:rPr>
              <w:t>”</w:t>
            </w:r>
            <w:r>
              <w:rPr>
                <w:rFonts w:ascii="Times New Roman" w:hAnsi="Times New Roman" w:cs="Times New Roman"/>
                <w:kern w:val="0"/>
                <w:sz w:val="22"/>
                <w:szCs w:val="22"/>
              </w:rPr>
              <w:t>工作推进组</w:t>
            </w:r>
          </w:p>
          <w:p>
            <w:pPr>
              <w:widowControl/>
              <w:spacing w:line="300" w:lineRule="exact"/>
              <w:jc w:val="center"/>
              <w:rPr>
                <w:rFonts w:ascii="Times New Roman" w:hAnsi="Times New Roman" w:cs="Times New Roman"/>
                <w:kern w:val="0"/>
                <w:sz w:val="22"/>
                <w:szCs w:val="22"/>
              </w:rPr>
            </w:pPr>
          </w:p>
          <w:p>
            <w:pPr>
              <w:widowControl/>
              <w:spacing w:line="300" w:lineRule="exact"/>
              <w:rPr>
                <w:rFonts w:ascii="Times New Roman" w:hAnsi="Times New Roman" w:cs="Times New Roman"/>
                <w:kern w:val="0"/>
                <w:sz w:val="22"/>
                <w:szCs w:val="22"/>
              </w:rPr>
            </w:pPr>
          </w:p>
        </w:tc>
        <w:tc>
          <w:tcPr>
            <w:tcW w:w="270" w:type="pct"/>
            <w:vAlign w:val="center"/>
          </w:tcPr>
          <w:p>
            <w:pPr>
              <w:widowControl/>
              <w:spacing w:line="300" w:lineRule="exact"/>
              <w:ind w:firstLine="220" w:firstLineChars="100"/>
              <w:rPr>
                <w:rFonts w:ascii="Times New Roman" w:hAnsi="Times New Roman" w:cs="Times New Roman"/>
                <w:kern w:val="0"/>
                <w:sz w:val="22"/>
                <w:szCs w:val="22"/>
              </w:rPr>
            </w:pPr>
            <w:r>
              <w:rPr>
                <w:rFonts w:ascii="Times New Roman" w:hAnsi="Times New Roman" w:cs="Times New Roman"/>
                <w:kern w:val="0"/>
                <w:sz w:val="22"/>
                <w:szCs w:val="22"/>
              </w:rPr>
              <w:t>杜军</w:t>
            </w:r>
          </w:p>
        </w:tc>
        <w:tc>
          <w:tcPr>
            <w:tcW w:w="197" w:type="pct"/>
            <w:vAlign w:val="center"/>
          </w:tcPr>
          <w:p>
            <w:pPr>
              <w:widowControl/>
              <w:spacing w:line="300" w:lineRule="exact"/>
              <w:rPr>
                <w:rFonts w:ascii="Times New Roman" w:hAnsi="Times New Roman" w:cs="Times New Roman"/>
                <w:kern w:val="0"/>
                <w:sz w:val="22"/>
                <w:szCs w:val="22"/>
              </w:rPr>
            </w:pPr>
            <w:r>
              <w:rPr>
                <w:rFonts w:ascii="Times New Roman" w:hAnsi="Times New Roman" w:cs="Times New Roman"/>
                <w:kern w:val="0"/>
                <w:sz w:val="22"/>
                <w:szCs w:val="22"/>
              </w:rPr>
              <w:t>发展规划与学科建设处</w:t>
            </w:r>
          </w:p>
        </w:tc>
        <w:tc>
          <w:tcPr>
            <w:tcW w:w="193" w:type="pct"/>
            <w:vAlign w:val="center"/>
          </w:tcPr>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r>
              <w:rPr>
                <w:rFonts w:hint="eastAsia" w:ascii="Times New Roman" w:hAnsi="Times New Roman" w:cs="Times New Roman"/>
                <w:kern w:val="0"/>
                <w:sz w:val="22"/>
                <w:szCs w:val="22"/>
              </w:rPr>
              <w:t>2024年6月30日</w:t>
            </w:r>
          </w:p>
          <w:p>
            <w:pPr>
              <w:widowControl/>
              <w:spacing w:line="300" w:lineRule="exact"/>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p>
            <w:pPr>
              <w:widowControl/>
              <w:spacing w:line="300" w:lineRule="exact"/>
              <w:jc w:val="center"/>
              <w:rPr>
                <w:rFonts w:ascii="Times New Roman" w:hAnsi="Times New Roman" w:cs="Times New Roman"/>
                <w:kern w:val="0"/>
                <w:sz w:val="22"/>
                <w:szCs w:val="22"/>
              </w:rPr>
            </w:pPr>
          </w:p>
        </w:tc>
      </w:tr>
    </w:tbl>
    <w:p>
      <w:pPr>
        <w:widowControl/>
        <w:spacing w:line="300" w:lineRule="exact"/>
        <w:rPr>
          <w:rFonts w:ascii="Times New Roman" w:hAnsi="Times New Roman" w:cs="宋体"/>
          <w:bCs/>
          <w:kern w:val="0"/>
          <w:szCs w:val="21"/>
        </w:rPr>
      </w:pPr>
      <w:r>
        <w:rPr>
          <w:rFonts w:hint="eastAsia" w:ascii="Times New Roman" w:hAnsi="Times New Roman" w:cs="宋体"/>
          <w:b/>
          <w:kern w:val="0"/>
          <w:szCs w:val="21"/>
        </w:rPr>
        <w:t>说明：</w:t>
      </w:r>
      <w:r>
        <w:rPr>
          <w:rFonts w:hint="eastAsia" w:ascii="Times New Roman" w:hAnsi="Times New Roman" w:cs="宋体"/>
          <w:bCs/>
          <w:kern w:val="0"/>
          <w:szCs w:val="21"/>
        </w:rPr>
        <w:t>各相关部门作为牵头单位共计承担83项主要任务，具体为党委办公室/校长办公室3项，组织部1项，教务处44项，国际合作与交流处4项，宣传部2项，学生工作部6项，大学生就业服务中心4项，团委2项，人事处6项，财务处3项，国有资产管理处1项，发展规划与学科建设处5项。</w:t>
      </w:r>
    </w:p>
    <w:p>
      <w:pPr>
        <w:widowControl/>
        <w:spacing w:line="300" w:lineRule="exact"/>
        <w:rPr>
          <w:rFonts w:ascii="Times New Roman" w:hAnsi="Times New Roman" w:cs="宋体"/>
          <w:color w:val="FF0000"/>
          <w:kern w:val="0"/>
          <w:szCs w:val="21"/>
        </w:rPr>
      </w:pPr>
      <w:r>
        <w:rPr>
          <w:rFonts w:hint="eastAsia" w:ascii="Times New Roman" w:hAnsi="Times New Roman" w:cs="宋体"/>
          <w:b/>
          <w:color w:val="000000" w:themeColor="text1"/>
          <w:kern w:val="0"/>
          <w:szCs w:val="21"/>
          <w14:textFill>
            <w14:solidFill>
              <w14:schemeClr w14:val="tx1"/>
            </w14:solidFill>
          </w14:textFill>
        </w:rPr>
        <w:t>备注：</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hint="eastAsia" w:ascii="Times New Roman" w:hAnsi="Times New Roman" w:cs="宋体"/>
          <w:color w:val="000000" w:themeColor="text1"/>
          <w:kern w:val="0"/>
          <w:szCs w:val="21"/>
          <w14:textFill>
            <w14:solidFill>
              <w14:schemeClr w14:val="tx1"/>
            </w14:solidFill>
          </w14:textFill>
        </w:rPr>
        <w:t>1.第二类审核评估分为三种，学校可根据自身实际情况，选择且只能选择其中一种。</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hint="eastAsia" w:ascii="Times New Roman" w:hAnsi="Times New Roman" w:cs="宋体"/>
          <w:color w:val="000000" w:themeColor="text1"/>
          <w:kern w:val="0"/>
          <w:szCs w:val="21"/>
          <w14:textFill>
            <w14:solidFill>
              <w14:schemeClr w14:val="tx1"/>
            </w14:solidFill>
          </w14:textFill>
        </w:rPr>
        <w:t>2.二级指标和审核重点包括统一必选项、类型必选项、特色可选项、首评限选项。</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w:t>
      </w:r>
      <w:r>
        <w:rPr>
          <w:rFonts w:hint="eastAsia" w:ascii="Times New Roman" w:hAnsi="Times New Roman" w:cs="宋体"/>
          <w:color w:val="000000" w:themeColor="text1"/>
          <w:kern w:val="0"/>
          <w:szCs w:val="21"/>
          <w14:textFill>
            <w14:solidFill>
              <w14:schemeClr w14:val="tx1"/>
            </w14:solidFill>
          </w14:textFill>
        </w:rPr>
        <w:t>“统一必选项”无特殊标识，所有高校必须选择；</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w:t>
      </w:r>
      <w:r>
        <w:rPr>
          <w:rFonts w:hint="eastAsia" w:ascii="Times New Roman" w:hAnsi="Times New Roman" w:cs="宋体"/>
          <w:color w:val="000000" w:themeColor="text1"/>
          <w:kern w:val="0"/>
          <w:szCs w:val="21"/>
          <w14:textFill>
            <w14:solidFill>
              <w14:schemeClr w14:val="tx1"/>
            </w14:solidFill>
          </w14:textFill>
        </w:rPr>
        <w:t>“类型必选项”标识“</w:t>
      </w:r>
      <w:r>
        <w:rPr>
          <w:rFonts w:ascii="Times New Roman" w:hAnsi="Times New Roman" w:cs="宋体"/>
          <w:color w:val="000000" w:themeColor="text1"/>
          <w:kern w:val="0"/>
          <w:szCs w:val="21"/>
          <w14:textFill>
            <w14:solidFill>
              <w14:schemeClr w14:val="tx1"/>
            </w14:solidFill>
          </w14:textFill>
        </w:rPr>
        <w:t>B</w:t>
      </w:r>
      <w:r>
        <w:rPr>
          <w:rFonts w:hint="eastAsia" w:ascii="Times New Roman" w:hAnsi="Times New Roman" w:cs="宋体"/>
          <w:color w:val="000000" w:themeColor="text1"/>
          <w:kern w:val="0"/>
          <w:szCs w:val="21"/>
          <w14:textFill>
            <w14:solidFill>
              <w14:schemeClr w14:val="tx1"/>
            </w14:solidFill>
          </w14:textFill>
        </w:rPr>
        <w:t>”，选择第一种的高校须统一选择“</w:t>
      </w:r>
      <w:r>
        <w:rPr>
          <w:rFonts w:ascii="Times New Roman" w:hAnsi="Times New Roman" w:cs="宋体"/>
          <w:color w:val="000000" w:themeColor="text1"/>
          <w:kern w:val="0"/>
          <w:szCs w:val="21"/>
          <w14:textFill>
            <w14:solidFill>
              <w14:schemeClr w14:val="tx1"/>
            </w14:solidFill>
          </w14:textFill>
        </w:rPr>
        <w:t>B1</w:t>
      </w:r>
      <w:r>
        <w:rPr>
          <w:rFonts w:hint="eastAsia" w:ascii="Times New Roman" w:hAnsi="Times New Roman" w:cs="宋体"/>
          <w:color w:val="000000" w:themeColor="text1"/>
          <w:kern w:val="0"/>
          <w:szCs w:val="21"/>
          <w14:textFill>
            <w14:solidFill>
              <w14:schemeClr w14:val="tx1"/>
            </w14:solidFill>
          </w14:textFill>
        </w:rPr>
        <w:t>”，选择第二种的高校须统一选择“</w:t>
      </w:r>
      <w:r>
        <w:rPr>
          <w:rFonts w:ascii="Times New Roman" w:hAnsi="Times New Roman" w:cs="宋体"/>
          <w:color w:val="000000" w:themeColor="text1"/>
          <w:kern w:val="0"/>
          <w:szCs w:val="21"/>
          <w14:textFill>
            <w14:solidFill>
              <w14:schemeClr w14:val="tx1"/>
            </w14:solidFill>
          </w14:textFill>
        </w:rPr>
        <w:t>B2</w:t>
      </w:r>
      <w:r>
        <w:rPr>
          <w:rFonts w:hint="eastAsia" w:ascii="Times New Roman" w:hAnsi="Times New Roman" w:cs="宋体"/>
          <w:color w:val="000000" w:themeColor="text1"/>
          <w:kern w:val="0"/>
          <w:szCs w:val="21"/>
          <w14:textFill>
            <w14:solidFill>
              <w14:schemeClr w14:val="tx1"/>
            </w14:solidFill>
          </w14:textFill>
        </w:rPr>
        <w:t>”，选择第三种的高校原则上选择“</w:t>
      </w:r>
      <w:r>
        <w:rPr>
          <w:rFonts w:ascii="Times New Roman" w:hAnsi="Times New Roman" w:cs="宋体"/>
          <w:color w:val="000000" w:themeColor="text1"/>
          <w:kern w:val="0"/>
          <w:szCs w:val="21"/>
          <w14:textFill>
            <w14:solidFill>
              <w14:schemeClr w14:val="tx1"/>
            </w14:solidFill>
          </w14:textFill>
        </w:rPr>
        <w:t>B2</w:t>
      </w:r>
      <w:r>
        <w:rPr>
          <w:rFonts w:hint="eastAsia" w:ascii="Times New Roman" w:hAnsi="Times New Roman" w:cs="宋体"/>
          <w:color w:val="000000" w:themeColor="text1"/>
          <w:kern w:val="0"/>
          <w:szCs w:val="21"/>
          <w14:textFill>
            <w14:solidFill>
              <w14:schemeClr w14:val="tx1"/>
            </w14:solidFill>
          </w14:textFill>
        </w:rPr>
        <w:t>”；</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w:t>
      </w:r>
      <w:r>
        <w:rPr>
          <w:rFonts w:hint="eastAsia" w:ascii="Times New Roman" w:hAnsi="Times New Roman" w:cs="宋体"/>
          <w:color w:val="000000" w:themeColor="text1"/>
          <w:kern w:val="0"/>
          <w:szCs w:val="21"/>
          <w14:textFill>
            <w14:solidFill>
              <w14:schemeClr w14:val="tx1"/>
            </w14:solidFill>
          </w14:textFill>
        </w:rPr>
        <w:t>“特色可选项”标识“</w:t>
      </w:r>
      <w:r>
        <w:rPr>
          <w:rFonts w:ascii="Times New Roman" w:hAnsi="Times New Roman" w:cs="宋体"/>
          <w:color w:val="000000" w:themeColor="text1"/>
          <w:kern w:val="0"/>
          <w:szCs w:val="21"/>
          <w14:textFill>
            <w14:solidFill>
              <w14:schemeClr w14:val="tx1"/>
            </w14:solidFill>
          </w14:textFill>
        </w:rPr>
        <w:t>K</w:t>
      </w:r>
      <w:r>
        <w:rPr>
          <w:rFonts w:hint="eastAsia" w:ascii="Times New Roman" w:hAnsi="Times New Roman" w:cs="宋体"/>
          <w:color w:val="000000" w:themeColor="text1"/>
          <w:kern w:val="0"/>
          <w:szCs w:val="21"/>
          <w14:textFill>
            <w14:solidFill>
              <w14:schemeClr w14:val="tx1"/>
            </w14:solidFill>
          </w14:textFill>
        </w:rPr>
        <w:t>”，高校可根据办学定位和人才培养目标自主选择，其中：第一种与“</w:t>
      </w:r>
      <w:r>
        <w:rPr>
          <w:rFonts w:ascii="Times New Roman" w:hAnsi="Times New Roman" w:cs="宋体"/>
          <w:color w:val="000000" w:themeColor="text1"/>
          <w:kern w:val="0"/>
          <w:szCs w:val="21"/>
          <w14:textFill>
            <w14:solidFill>
              <w14:schemeClr w14:val="tx1"/>
            </w14:solidFill>
          </w14:textFill>
        </w:rPr>
        <w:t>K1</w:t>
      </w:r>
      <w:r>
        <w:rPr>
          <w:rFonts w:hint="eastAsia" w:ascii="Times New Roman" w:hAnsi="Times New Roman" w:cs="宋体"/>
          <w:color w:val="000000" w:themeColor="text1"/>
          <w:kern w:val="0"/>
          <w:szCs w:val="21"/>
          <w14:textFill>
            <w14:solidFill>
              <w14:schemeClr w14:val="tx1"/>
            </w14:solidFill>
          </w14:textFill>
        </w:rPr>
        <w:t>”选项对应，第二种与“</w:t>
      </w:r>
      <w:r>
        <w:rPr>
          <w:rFonts w:ascii="Times New Roman" w:hAnsi="Times New Roman" w:cs="宋体"/>
          <w:color w:val="000000" w:themeColor="text1"/>
          <w:kern w:val="0"/>
          <w:szCs w:val="21"/>
          <w14:textFill>
            <w14:solidFill>
              <w14:schemeClr w14:val="tx1"/>
            </w14:solidFill>
          </w14:textFill>
        </w:rPr>
        <w:t>K2</w:t>
      </w:r>
      <w:r>
        <w:rPr>
          <w:rFonts w:hint="eastAsia" w:ascii="Times New Roman" w:hAnsi="Times New Roman" w:cs="宋体"/>
          <w:color w:val="000000" w:themeColor="text1"/>
          <w:kern w:val="0"/>
          <w:szCs w:val="21"/>
          <w14:textFill>
            <w14:solidFill>
              <w14:schemeClr w14:val="tx1"/>
            </w14:solidFill>
          </w14:textFill>
        </w:rPr>
        <w:t>”选项对应，第三种原则上与“</w:t>
      </w:r>
      <w:r>
        <w:rPr>
          <w:rFonts w:ascii="Times New Roman" w:hAnsi="Times New Roman" w:cs="宋体"/>
          <w:color w:val="000000" w:themeColor="text1"/>
          <w:kern w:val="0"/>
          <w:szCs w:val="21"/>
          <w14:textFill>
            <w14:solidFill>
              <w14:schemeClr w14:val="tx1"/>
            </w14:solidFill>
          </w14:textFill>
        </w:rPr>
        <w:t>K2</w:t>
      </w:r>
      <w:r>
        <w:rPr>
          <w:rFonts w:hint="eastAsia" w:ascii="Times New Roman" w:hAnsi="Times New Roman" w:cs="宋体"/>
          <w:color w:val="000000" w:themeColor="text1"/>
          <w:kern w:val="0"/>
          <w:szCs w:val="21"/>
          <w14:textFill>
            <w14:solidFill>
              <w14:schemeClr w14:val="tx1"/>
            </w14:solidFill>
          </w14:textFill>
        </w:rPr>
        <w:t>”选项对应；</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w:t>
      </w:r>
      <w:r>
        <w:rPr>
          <w:rFonts w:hint="eastAsia" w:ascii="Times New Roman" w:hAnsi="Times New Roman" w:cs="宋体"/>
          <w:color w:val="000000" w:themeColor="text1"/>
          <w:kern w:val="0"/>
          <w:szCs w:val="21"/>
          <w14:textFill>
            <w14:solidFill>
              <w14:schemeClr w14:val="tx1"/>
            </w14:solidFill>
          </w14:textFill>
        </w:rPr>
        <w:t>“首评限选项”标识“</w:t>
      </w:r>
      <w:r>
        <w:rPr>
          <w:rFonts w:ascii="Times New Roman" w:hAnsi="Times New Roman" w:cs="宋体"/>
          <w:color w:val="000000" w:themeColor="text1"/>
          <w:kern w:val="0"/>
          <w:szCs w:val="21"/>
          <w14:textFill>
            <w14:solidFill>
              <w14:schemeClr w14:val="tx1"/>
            </w14:solidFill>
          </w14:textFill>
        </w:rPr>
        <w:t>X</w:t>
      </w:r>
      <w:r>
        <w:rPr>
          <w:rFonts w:hint="eastAsia" w:ascii="Times New Roman" w:hAnsi="Times New Roman" w:cs="宋体"/>
          <w:color w:val="000000" w:themeColor="text1"/>
          <w:kern w:val="0"/>
          <w:szCs w:val="21"/>
          <w14:textFill>
            <w14:solidFill>
              <w14:schemeClr w14:val="tx1"/>
            </w14:solidFill>
          </w14:textFill>
        </w:rPr>
        <w:t>”，选择第三种的高校必须选择，其他高校不用选择。</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3.</w:t>
      </w:r>
      <w:r>
        <w:rPr>
          <w:rFonts w:hint="eastAsia" w:ascii="Times New Roman" w:hAnsi="Times New Roman" w:cs="宋体"/>
          <w:color w:val="000000" w:themeColor="text1"/>
          <w:kern w:val="0"/>
          <w:szCs w:val="21"/>
          <w14:textFill>
            <w14:solidFill>
              <w14:schemeClr w14:val="tx1"/>
            </w14:solidFill>
          </w14:textFill>
        </w:rPr>
        <w:t>审核重点中定量指标的具体要求可参考国家相关标准。其中，【必选】</w:t>
      </w:r>
      <w:r>
        <w:rPr>
          <w:rFonts w:ascii="Times New Roman" w:hAnsi="Times New Roman" w:cs="宋体"/>
          <w:color w:val="000000" w:themeColor="text1"/>
          <w:kern w:val="0"/>
          <w:szCs w:val="21"/>
          <w14:textFill>
            <w14:solidFill>
              <w14:schemeClr w14:val="tx1"/>
            </w14:solidFill>
          </w14:textFill>
        </w:rPr>
        <w:t>是指</w:t>
      </w:r>
      <w:r>
        <w:rPr>
          <w:rFonts w:hint="eastAsia" w:ascii="Times New Roman" w:hAnsi="Times New Roman" w:cs="宋体"/>
          <w:color w:val="000000" w:themeColor="text1"/>
          <w:kern w:val="0"/>
          <w:szCs w:val="21"/>
          <w14:textFill>
            <w14:solidFill>
              <w14:schemeClr w14:val="tx1"/>
            </w14:solidFill>
          </w14:textFill>
        </w:rPr>
        <w:t>该定量指标学校必须选择，【可选】</w:t>
      </w:r>
      <w:r>
        <w:rPr>
          <w:rFonts w:ascii="Times New Roman" w:hAnsi="Times New Roman" w:cs="宋体"/>
          <w:color w:val="000000" w:themeColor="text1"/>
          <w:kern w:val="0"/>
          <w:szCs w:val="21"/>
          <w14:textFill>
            <w14:solidFill>
              <w14:schemeClr w14:val="tx1"/>
            </w14:solidFill>
          </w14:textFill>
        </w:rPr>
        <w:t>是指</w:t>
      </w:r>
      <w:r>
        <w:rPr>
          <w:rFonts w:hint="eastAsia" w:ascii="Times New Roman" w:hAnsi="Times New Roman" w:cs="宋体"/>
          <w:color w:val="000000" w:themeColor="text1"/>
          <w:kern w:val="0"/>
          <w:szCs w:val="21"/>
          <w14:textFill>
            <w14:solidFill>
              <w14:schemeClr w14:val="tx1"/>
            </w14:solidFill>
          </w14:textFill>
        </w:rPr>
        <w:t>该定量指标学校可根据自身发展需要和实际情况自主选择至少8项。</w:t>
      </w:r>
    </w:p>
    <w:p>
      <w:pPr>
        <w:spacing w:line="300" w:lineRule="exact"/>
        <w:ind w:firstLine="420" w:firstLineChars="200"/>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宋体"/>
          <w:color w:val="000000" w:themeColor="text1"/>
          <w:kern w:val="0"/>
          <w:szCs w:val="21"/>
          <w14:textFill>
            <w14:solidFill>
              <w14:schemeClr w14:val="tx1"/>
            </w14:solidFill>
          </w14:textFill>
        </w:rPr>
        <w:t>4</w:t>
      </w:r>
      <w:r>
        <w:rPr>
          <w:rFonts w:ascii="Times New Roman" w:hAnsi="Times New Roman" w:cs="宋体"/>
          <w:color w:val="000000" w:themeColor="text1"/>
          <w:kern w:val="0"/>
          <w:szCs w:val="21"/>
          <w14:textFill>
            <w14:solidFill>
              <w14:schemeClr w14:val="tx1"/>
            </w14:solidFill>
          </w14:textFill>
        </w:rPr>
        <w:t>.</w:t>
      </w:r>
      <w:r>
        <w:rPr>
          <w:rFonts w:hint="eastAsia" w:ascii="Times New Roman" w:hAnsi="Times New Roman" w:cs="宋体"/>
          <w:color w:val="000000" w:themeColor="text1"/>
          <w:kern w:val="0"/>
          <w:szCs w:val="21"/>
          <w14:textFill>
            <w14:solidFill>
              <w14:schemeClr w14:val="tx1"/>
            </w14:solidFill>
          </w14:textFill>
        </w:rPr>
        <w:t>表中定量指标计算原则上参照《中国教育监测与评价统计指标体</w:t>
      </w:r>
      <w:r>
        <w:rPr>
          <w:rFonts w:ascii="Times New Roman" w:hAnsi="Times New Roman" w:cs="Times New Roman"/>
          <w:color w:val="000000" w:themeColor="text1"/>
          <w:kern w:val="0"/>
          <w:szCs w:val="21"/>
          <w14:textFill>
            <w14:solidFill>
              <w14:schemeClr w14:val="tx1"/>
            </w14:solidFill>
          </w14:textFill>
        </w:rPr>
        <w:t>系（2020年版）》</w:t>
      </w:r>
      <w:r>
        <w:rPr>
          <w:rFonts w:hint="eastAsia" w:ascii="Times New Roman" w:hAnsi="Times New Roman" w:cs="Times New Roman"/>
          <w:color w:val="000000" w:themeColor="text1"/>
          <w:kern w:val="0"/>
          <w:szCs w:val="21"/>
          <w14:textFill>
            <w14:solidFill>
              <w14:schemeClr w14:val="tx1"/>
            </w14:solidFill>
          </w14:textFill>
        </w:rPr>
        <w:t>（教发[2020]6号）。</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5.</w:t>
      </w:r>
      <w:r>
        <w:rPr>
          <w:rFonts w:hint="eastAsia" w:ascii="Times New Roman" w:hAnsi="Times New Roman" w:cs="宋体"/>
          <w:color w:val="000000" w:themeColor="text1"/>
          <w:kern w:val="0"/>
          <w:szCs w:val="21"/>
          <w14:textFill>
            <w14:solidFill>
              <w14:schemeClr w14:val="tx1"/>
            </w14:solidFill>
          </w14:textFill>
        </w:rPr>
        <w:t>生均年教学日常运行支出=教学日常运行支出</w:t>
      </w:r>
      <w:r>
        <w:rPr>
          <w:rFonts w:ascii="Times New Roman" w:hAnsi="Times New Roman" w:cs="宋体"/>
          <w:color w:val="000000" w:themeColor="text1"/>
          <w:kern w:val="0"/>
          <w:szCs w:val="21"/>
          <w14:textFill>
            <w14:solidFill>
              <w14:schemeClr w14:val="tx1"/>
            </w14:solidFill>
          </w14:textFill>
        </w:rPr>
        <w:t>/</w:t>
      </w:r>
      <w:r>
        <w:rPr>
          <w:rFonts w:hint="eastAsia" w:ascii="Times New Roman" w:hAnsi="Times New Roman" w:cs="宋体"/>
          <w:color w:val="000000" w:themeColor="text1"/>
          <w:kern w:val="0"/>
          <w:szCs w:val="21"/>
          <w14:textFill>
            <w14:solidFill>
              <w14:schemeClr w14:val="tx1"/>
            </w14:solidFill>
          </w14:textFill>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6.</w:t>
      </w:r>
      <w:bookmarkStart w:id="3" w:name="_Hlk147833175"/>
      <w:r>
        <w:rPr>
          <w:rFonts w:hint="eastAsia" w:ascii="Times New Roman" w:hAnsi="Times New Roman" w:cs="宋体"/>
          <w:color w:val="000000" w:themeColor="text1"/>
          <w:kern w:val="0"/>
          <w:szCs w:val="21"/>
          <w14:textFill>
            <w14:solidFill>
              <w14:schemeClr w14:val="tx1"/>
            </w14:solidFill>
          </w14:textFill>
        </w:rPr>
        <w:t>年新增教学科研仪器设备所占比例</w:t>
      </w:r>
      <w:bookmarkEnd w:id="3"/>
      <w:r>
        <w:rPr>
          <w:rFonts w:hint="eastAsia" w:ascii="Times New Roman" w:hAnsi="Times New Roman" w:cs="宋体"/>
          <w:color w:val="000000" w:themeColor="text1"/>
          <w:kern w:val="0"/>
          <w:szCs w:val="21"/>
          <w14:textFill>
            <w14:solidFill>
              <w14:schemeClr w14:val="tx1"/>
            </w14:solidFill>
          </w14:textFill>
        </w:rPr>
        <w:t>（参照教育部教发</w:t>
      </w:r>
      <w:r>
        <w:rPr>
          <w:rFonts w:ascii="Times New Roman" w:hAnsi="Times New Roman" w:cs="Times New Roman"/>
          <w:color w:val="000000" w:themeColor="text1"/>
          <w:kern w:val="0"/>
          <w:szCs w:val="21"/>
          <w14:textFill>
            <w14:solidFill>
              <w14:schemeClr w14:val="tx1"/>
            </w14:solidFill>
          </w14:textFill>
        </w:rPr>
        <w:t>[2004]</w:t>
      </w:r>
      <w:r>
        <w:rPr>
          <w:rFonts w:hint="eastAsia" w:ascii="Times New Roman" w:hAnsi="Times New Roman" w:cs="宋体"/>
          <w:color w:val="000000" w:themeColor="text1"/>
          <w:kern w:val="0"/>
          <w:szCs w:val="21"/>
          <w14:textFill>
            <w14:solidFill>
              <w14:schemeClr w14:val="tx1"/>
            </w14:solidFill>
          </w14:textFill>
        </w:rPr>
        <w:t>2号文件）：年新增教学科研仪器设备所占比例≥10%。凡教学仪器设备总值超过1亿元的高校，当年新增教学仪器设备值超过1000万元，该项指标即为合格。</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7.</w:t>
      </w:r>
      <w:r>
        <w:rPr>
          <w:rFonts w:hint="eastAsia" w:ascii="Times New Roman" w:hAnsi="Times New Roman" w:cs="宋体"/>
          <w:color w:val="000000" w:themeColor="text1"/>
          <w:kern w:val="0"/>
          <w:szCs w:val="21"/>
          <w14:textFill>
            <w14:solidFill>
              <w14:schemeClr w14:val="tx1"/>
            </w14:solidFill>
          </w14:textFill>
        </w:rPr>
        <w:t>生均教学科研仪器设备值=普通高校教学与科研仪器设备总资产值/折合在校生数（参照教育部教发</w:t>
      </w:r>
      <w:r>
        <w:rPr>
          <w:rFonts w:ascii="Times New Roman" w:hAnsi="Times New Roman" w:cs="Times New Roman"/>
          <w:color w:val="000000" w:themeColor="text1"/>
          <w:kern w:val="0"/>
          <w:szCs w:val="21"/>
          <w14:textFill>
            <w14:solidFill>
              <w14:schemeClr w14:val="tx1"/>
            </w14:solidFill>
          </w14:textFill>
        </w:rPr>
        <w:t>[2004]</w:t>
      </w:r>
      <w:r>
        <w:rPr>
          <w:rFonts w:hint="eastAsia" w:ascii="Times New Roman" w:hAnsi="Times New Roman" w:cs="宋体"/>
          <w:color w:val="000000" w:themeColor="text1"/>
          <w:kern w:val="0"/>
          <w:szCs w:val="21"/>
          <w14:textFill>
            <w14:solidFill>
              <w14:schemeClr w14:val="tx1"/>
            </w14:solidFill>
          </w14:textFill>
        </w:rPr>
        <w:t>2号文件），综合、师范、民族院校，工科、农、林院校和医学院校≥5000元/生，体育、艺术院校≥4000元/生，语文、财经、政法院校≥3000元/生。</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ascii="Times New Roman" w:hAnsi="Times New Roman" w:cs="宋体"/>
          <w:color w:val="000000" w:themeColor="text1"/>
          <w:kern w:val="0"/>
          <w:szCs w:val="21"/>
          <w14:textFill>
            <w14:solidFill>
              <w14:schemeClr w14:val="tx1"/>
            </w14:solidFill>
          </w14:textFill>
        </w:rPr>
        <w:t>8.</w:t>
      </w:r>
      <w:r>
        <w:rPr>
          <w:rFonts w:hint="eastAsia" w:ascii="Times New Roman" w:hAnsi="Times New Roman" w:cs="宋体"/>
          <w:color w:val="000000" w:themeColor="text1"/>
          <w:kern w:val="0"/>
          <w:szCs w:val="21"/>
          <w14:textFill>
            <w14:solidFill>
              <w14:schemeClr w14:val="tx1"/>
            </w14:solidFill>
          </w14:textFill>
        </w:rPr>
        <w:t>生师比=折合在校生数/专任教师总数（参照教育部教发</w:t>
      </w:r>
      <w:r>
        <w:rPr>
          <w:rFonts w:ascii="Times New Roman" w:hAnsi="Times New Roman" w:cs="Times New Roman"/>
          <w:color w:val="000000" w:themeColor="text1"/>
          <w:kern w:val="0"/>
          <w:szCs w:val="21"/>
          <w14:textFill>
            <w14:solidFill>
              <w14:schemeClr w14:val="tx1"/>
            </w14:solidFill>
          </w14:textFill>
        </w:rPr>
        <w:t>[2004]</w:t>
      </w:r>
      <w:r>
        <w:rPr>
          <w:rFonts w:hint="eastAsia" w:ascii="Times New Roman" w:hAnsi="Times New Roman" w:cs="宋体"/>
          <w:color w:val="000000" w:themeColor="text1"/>
          <w:kern w:val="0"/>
          <w:szCs w:val="21"/>
          <w14:textFill>
            <w14:solidFill>
              <w14:schemeClr w14:val="tx1"/>
            </w14:solidFill>
          </w14:textFill>
        </w:rPr>
        <w:t>2号文件），综合、师范、民族院校，工科、农、林院校和语文、财经、政法院校≤18：1；医学院校≤16：1；体育、艺术院校≤11：1。</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hint="eastAsia" w:ascii="Times New Roman" w:hAnsi="Times New Roman" w:cs="宋体"/>
          <w:color w:val="000000" w:themeColor="text1"/>
          <w:kern w:val="0"/>
          <w:szCs w:val="21"/>
          <w14:textFill>
            <w14:solidFill>
              <w14:schemeClr w14:val="tx1"/>
            </w14:solidFill>
          </w14:textFill>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pPr>
        <w:spacing w:line="300" w:lineRule="exact"/>
        <w:ind w:firstLine="420" w:firstLineChars="200"/>
        <w:rPr>
          <w:rFonts w:ascii="Times New Roman" w:hAnsi="Times New Roman" w:cs="宋体"/>
          <w:color w:val="000000" w:themeColor="text1"/>
          <w:kern w:val="0"/>
          <w:szCs w:val="21"/>
          <w14:textFill>
            <w14:solidFill>
              <w14:schemeClr w14:val="tx1"/>
            </w14:solidFill>
          </w14:textFill>
        </w:rPr>
      </w:pPr>
      <w:r>
        <w:rPr>
          <w:rFonts w:hint="eastAsia" w:ascii="Times New Roman" w:hAnsi="Times New Roman" w:cs="宋体"/>
          <w:color w:val="000000" w:themeColor="text1"/>
          <w:kern w:val="0"/>
          <w:szCs w:val="21"/>
          <w14:textFill>
            <w14:solidFill>
              <w14:schemeClr w14:val="tx1"/>
            </w14:solidFill>
          </w14:textFill>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sectPr>
      <w:pgSz w:w="23811" w:h="1683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CC22"/>
    <w:multiLevelType w:val="singleLevel"/>
    <w:tmpl w:val="EE5CCC22"/>
    <w:lvl w:ilvl="0" w:tentative="0">
      <w:start w:val="12"/>
      <w:numFmt w:val="decimal"/>
      <w:lvlText w:val="%1."/>
      <w:lvlJc w:val="left"/>
      <w:pPr>
        <w:tabs>
          <w:tab w:val="left" w:pos="312"/>
        </w:tabs>
      </w:pPr>
    </w:lvl>
  </w:abstractNum>
  <w:abstractNum w:abstractNumId="1">
    <w:nsid w:val="1ED4D1A1"/>
    <w:multiLevelType w:val="singleLevel"/>
    <w:tmpl w:val="1ED4D1A1"/>
    <w:lvl w:ilvl="0" w:tentative="0">
      <w:start w:val="30"/>
      <w:numFmt w:val="decimal"/>
      <w:lvlText w:val="%1."/>
      <w:lvlJc w:val="left"/>
      <w:pPr>
        <w:tabs>
          <w:tab w:val="left" w:pos="312"/>
        </w:tabs>
      </w:pPr>
    </w:lvl>
  </w:abstractNum>
  <w:abstractNum w:abstractNumId="2">
    <w:nsid w:val="77515B44"/>
    <w:multiLevelType w:val="singleLevel"/>
    <w:tmpl w:val="77515B44"/>
    <w:lvl w:ilvl="0" w:tentative="0">
      <w:start w:val="1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ODg0OGI5ZGM0OGFhZDY4ZTkxNDIzNTgxNGZhOTEifQ=="/>
  </w:docVars>
  <w:rsids>
    <w:rsidRoot w:val="00644D58"/>
    <w:rsid w:val="001B204A"/>
    <w:rsid w:val="001D3DB7"/>
    <w:rsid w:val="003532FE"/>
    <w:rsid w:val="005C3ACE"/>
    <w:rsid w:val="005C6ED5"/>
    <w:rsid w:val="00644D58"/>
    <w:rsid w:val="00755232"/>
    <w:rsid w:val="008A0CB9"/>
    <w:rsid w:val="00983163"/>
    <w:rsid w:val="009D30EE"/>
    <w:rsid w:val="00A516E8"/>
    <w:rsid w:val="00A73E07"/>
    <w:rsid w:val="00B71BFD"/>
    <w:rsid w:val="00BB1BA5"/>
    <w:rsid w:val="00D031C4"/>
    <w:rsid w:val="00DF13BA"/>
    <w:rsid w:val="00E80216"/>
    <w:rsid w:val="00FF216A"/>
    <w:rsid w:val="01640AE8"/>
    <w:rsid w:val="024D702F"/>
    <w:rsid w:val="02B81FC4"/>
    <w:rsid w:val="03D66BA6"/>
    <w:rsid w:val="046334B3"/>
    <w:rsid w:val="04E23328"/>
    <w:rsid w:val="04EE0A1A"/>
    <w:rsid w:val="05150D68"/>
    <w:rsid w:val="056B1BD7"/>
    <w:rsid w:val="05F75280"/>
    <w:rsid w:val="06025689"/>
    <w:rsid w:val="06956E79"/>
    <w:rsid w:val="06B7699D"/>
    <w:rsid w:val="073C5B86"/>
    <w:rsid w:val="07702E6D"/>
    <w:rsid w:val="08395955"/>
    <w:rsid w:val="089C68DA"/>
    <w:rsid w:val="08B73F81"/>
    <w:rsid w:val="09120680"/>
    <w:rsid w:val="094C7482"/>
    <w:rsid w:val="0A4C7942"/>
    <w:rsid w:val="0B6251C3"/>
    <w:rsid w:val="0B9A4FDA"/>
    <w:rsid w:val="0B9E4EF6"/>
    <w:rsid w:val="0BBA6DAD"/>
    <w:rsid w:val="0C057E45"/>
    <w:rsid w:val="0D78220F"/>
    <w:rsid w:val="0D8E1203"/>
    <w:rsid w:val="0DD51C7C"/>
    <w:rsid w:val="0E456D1F"/>
    <w:rsid w:val="0EBE2DB8"/>
    <w:rsid w:val="0EC51CF1"/>
    <w:rsid w:val="0EE34422"/>
    <w:rsid w:val="0EEF1F84"/>
    <w:rsid w:val="0EFE7BB2"/>
    <w:rsid w:val="0F3F5F47"/>
    <w:rsid w:val="0F421593"/>
    <w:rsid w:val="0F4B669A"/>
    <w:rsid w:val="0F880B5F"/>
    <w:rsid w:val="0FBF5C54"/>
    <w:rsid w:val="0FDF5034"/>
    <w:rsid w:val="0FFB3F79"/>
    <w:rsid w:val="101C02DB"/>
    <w:rsid w:val="113961ED"/>
    <w:rsid w:val="11CB0559"/>
    <w:rsid w:val="11EC3A41"/>
    <w:rsid w:val="12453AF7"/>
    <w:rsid w:val="12B10115"/>
    <w:rsid w:val="12DB5F87"/>
    <w:rsid w:val="12E64909"/>
    <w:rsid w:val="134A310C"/>
    <w:rsid w:val="138C7F4A"/>
    <w:rsid w:val="13BD61F0"/>
    <w:rsid w:val="13C82FAF"/>
    <w:rsid w:val="13EF6711"/>
    <w:rsid w:val="145058F3"/>
    <w:rsid w:val="14DE5FC6"/>
    <w:rsid w:val="153E0A4F"/>
    <w:rsid w:val="15712BD2"/>
    <w:rsid w:val="15E74C42"/>
    <w:rsid w:val="16103C39"/>
    <w:rsid w:val="165A5414"/>
    <w:rsid w:val="16627837"/>
    <w:rsid w:val="17D42FA4"/>
    <w:rsid w:val="182062A4"/>
    <w:rsid w:val="18407B7F"/>
    <w:rsid w:val="185C36C6"/>
    <w:rsid w:val="18DD4C44"/>
    <w:rsid w:val="190B6E9A"/>
    <w:rsid w:val="193208CA"/>
    <w:rsid w:val="194E2246"/>
    <w:rsid w:val="195F1010"/>
    <w:rsid w:val="19803D3F"/>
    <w:rsid w:val="19D8299C"/>
    <w:rsid w:val="19F4792E"/>
    <w:rsid w:val="1A1D5143"/>
    <w:rsid w:val="1A222895"/>
    <w:rsid w:val="1A4956E1"/>
    <w:rsid w:val="1AD428D9"/>
    <w:rsid w:val="1AE2232B"/>
    <w:rsid w:val="1B83366B"/>
    <w:rsid w:val="1BE73992"/>
    <w:rsid w:val="1CB718D1"/>
    <w:rsid w:val="1CBC61DB"/>
    <w:rsid w:val="1D3A319C"/>
    <w:rsid w:val="1D65662D"/>
    <w:rsid w:val="1D854CD9"/>
    <w:rsid w:val="1E055404"/>
    <w:rsid w:val="1E5418EC"/>
    <w:rsid w:val="1E652BA8"/>
    <w:rsid w:val="1E8A0FD2"/>
    <w:rsid w:val="1F1F544D"/>
    <w:rsid w:val="1F22305C"/>
    <w:rsid w:val="1F7A2683"/>
    <w:rsid w:val="20BF0C96"/>
    <w:rsid w:val="211D5873"/>
    <w:rsid w:val="21DA314B"/>
    <w:rsid w:val="220D1247"/>
    <w:rsid w:val="231D3C56"/>
    <w:rsid w:val="23411E36"/>
    <w:rsid w:val="235B2DBE"/>
    <w:rsid w:val="237C2F91"/>
    <w:rsid w:val="24A3442A"/>
    <w:rsid w:val="256718FC"/>
    <w:rsid w:val="25E161E8"/>
    <w:rsid w:val="267C6CB7"/>
    <w:rsid w:val="27082C6B"/>
    <w:rsid w:val="274A3283"/>
    <w:rsid w:val="288E6799"/>
    <w:rsid w:val="28D33CB5"/>
    <w:rsid w:val="28DF3F43"/>
    <w:rsid w:val="28F446B7"/>
    <w:rsid w:val="2960653F"/>
    <w:rsid w:val="29671E74"/>
    <w:rsid w:val="29E90B31"/>
    <w:rsid w:val="2AEE177B"/>
    <w:rsid w:val="2B0571F1"/>
    <w:rsid w:val="2B5E52B2"/>
    <w:rsid w:val="2B741256"/>
    <w:rsid w:val="2BD83879"/>
    <w:rsid w:val="2C514B7B"/>
    <w:rsid w:val="2C8B72CA"/>
    <w:rsid w:val="2D8570BF"/>
    <w:rsid w:val="2E6D6B2C"/>
    <w:rsid w:val="2E9E1548"/>
    <w:rsid w:val="2EF41D20"/>
    <w:rsid w:val="2F656EAC"/>
    <w:rsid w:val="2F6A2554"/>
    <w:rsid w:val="2FC53C32"/>
    <w:rsid w:val="2FF448A3"/>
    <w:rsid w:val="30073ABF"/>
    <w:rsid w:val="30221FB4"/>
    <w:rsid w:val="30607673"/>
    <w:rsid w:val="30D20571"/>
    <w:rsid w:val="30DC319E"/>
    <w:rsid w:val="31B57E7F"/>
    <w:rsid w:val="31DF4330"/>
    <w:rsid w:val="326F3BBC"/>
    <w:rsid w:val="32846214"/>
    <w:rsid w:val="32DC7485"/>
    <w:rsid w:val="32F87697"/>
    <w:rsid w:val="33184235"/>
    <w:rsid w:val="336930C6"/>
    <w:rsid w:val="337007AC"/>
    <w:rsid w:val="339B464C"/>
    <w:rsid w:val="34F35009"/>
    <w:rsid w:val="35557332"/>
    <w:rsid w:val="358C2A68"/>
    <w:rsid w:val="35AD1271"/>
    <w:rsid w:val="36444F99"/>
    <w:rsid w:val="364F4BD9"/>
    <w:rsid w:val="36BC73BF"/>
    <w:rsid w:val="37465815"/>
    <w:rsid w:val="379A0A54"/>
    <w:rsid w:val="37C537C3"/>
    <w:rsid w:val="37FA5E67"/>
    <w:rsid w:val="3813236E"/>
    <w:rsid w:val="3814321D"/>
    <w:rsid w:val="38414243"/>
    <w:rsid w:val="38A552D8"/>
    <w:rsid w:val="39096AFA"/>
    <w:rsid w:val="393A3157"/>
    <w:rsid w:val="395A7356"/>
    <w:rsid w:val="3AD0140D"/>
    <w:rsid w:val="3AFD3B8D"/>
    <w:rsid w:val="3B67468D"/>
    <w:rsid w:val="3C9D5C5E"/>
    <w:rsid w:val="3CAC3B52"/>
    <w:rsid w:val="3CBC538E"/>
    <w:rsid w:val="3CD360B7"/>
    <w:rsid w:val="3D8D1A2A"/>
    <w:rsid w:val="3D9866AF"/>
    <w:rsid w:val="3DDE30D7"/>
    <w:rsid w:val="3DE03BA2"/>
    <w:rsid w:val="3EAD482D"/>
    <w:rsid w:val="3EDE6333"/>
    <w:rsid w:val="3F286E52"/>
    <w:rsid w:val="402A373C"/>
    <w:rsid w:val="403F6AB0"/>
    <w:rsid w:val="40632F94"/>
    <w:rsid w:val="40A56875"/>
    <w:rsid w:val="41980B74"/>
    <w:rsid w:val="41E00614"/>
    <w:rsid w:val="429B22B8"/>
    <w:rsid w:val="42A85E68"/>
    <w:rsid w:val="42AB3B75"/>
    <w:rsid w:val="430F267C"/>
    <w:rsid w:val="432B3440"/>
    <w:rsid w:val="433573A7"/>
    <w:rsid w:val="43B228F0"/>
    <w:rsid w:val="44537B7B"/>
    <w:rsid w:val="454E75BB"/>
    <w:rsid w:val="456A6B72"/>
    <w:rsid w:val="466B30B6"/>
    <w:rsid w:val="467D28D5"/>
    <w:rsid w:val="474C46A4"/>
    <w:rsid w:val="4766336A"/>
    <w:rsid w:val="47B25680"/>
    <w:rsid w:val="47FE4882"/>
    <w:rsid w:val="482C7492"/>
    <w:rsid w:val="48C61571"/>
    <w:rsid w:val="492C058E"/>
    <w:rsid w:val="494D47E1"/>
    <w:rsid w:val="49F032CD"/>
    <w:rsid w:val="4A846C2C"/>
    <w:rsid w:val="4B105935"/>
    <w:rsid w:val="4B282AE6"/>
    <w:rsid w:val="4B34039A"/>
    <w:rsid w:val="4B7751AE"/>
    <w:rsid w:val="4BC42FD6"/>
    <w:rsid w:val="4BCD5006"/>
    <w:rsid w:val="4CB97ABD"/>
    <w:rsid w:val="4CDB2DF1"/>
    <w:rsid w:val="4D6950E0"/>
    <w:rsid w:val="4E1C6E78"/>
    <w:rsid w:val="4E6D43C9"/>
    <w:rsid w:val="4E85621C"/>
    <w:rsid w:val="4F98252E"/>
    <w:rsid w:val="4F986770"/>
    <w:rsid w:val="50753440"/>
    <w:rsid w:val="50986BC5"/>
    <w:rsid w:val="50A078EC"/>
    <w:rsid w:val="511B399A"/>
    <w:rsid w:val="52C6413F"/>
    <w:rsid w:val="534D4075"/>
    <w:rsid w:val="54A43723"/>
    <w:rsid w:val="55B1434A"/>
    <w:rsid w:val="56D27B8C"/>
    <w:rsid w:val="570C7996"/>
    <w:rsid w:val="5715271B"/>
    <w:rsid w:val="57681FB0"/>
    <w:rsid w:val="578A6194"/>
    <w:rsid w:val="57D83E10"/>
    <w:rsid w:val="57DD1426"/>
    <w:rsid w:val="585126D0"/>
    <w:rsid w:val="58536719"/>
    <w:rsid w:val="589B5060"/>
    <w:rsid w:val="596028D9"/>
    <w:rsid w:val="596051DB"/>
    <w:rsid w:val="59735B70"/>
    <w:rsid w:val="5A112694"/>
    <w:rsid w:val="5A42686F"/>
    <w:rsid w:val="5AC474BB"/>
    <w:rsid w:val="5AE105ED"/>
    <w:rsid w:val="5B4B66A7"/>
    <w:rsid w:val="5B874E3C"/>
    <w:rsid w:val="5B8B1199"/>
    <w:rsid w:val="5B975D90"/>
    <w:rsid w:val="5BF079BD"/>
    <w:rsid w:val="5C076A71"/>
    <w:rsid w:val="5C285C93"/>
    <w:rsid w:val="5CC87BEF"/>
    <w:rsid w:val="5CD93DF4"/>
    <w:rsid w:val="5CE60AC3"/>
    <w:rsid w:val="5D4001A9"/>
    <w:rsid w:val="5DD45079"/>
    <w:rsid w:val="5E224BB0"/>
    <w:rsid w:val="5E2E1BEC"/>
    <w:rsid w:val="5E570E70"/>
    <w:rsid w:val="5E5A6258"/>
    <w:rsid w:val="5E6D1EF9"/>
    <w:rsid w:val="5F177A55"/>
    <w:rsid w:val="5F1E5365"/>
    <w:rsid w:val="5F4E49B7"/>
    <w:rsid w:val="5F550EA2"/>
    <w:rsid w:val="5FA052B2"/>
    <w:rsid w:val="5FB0221E"/>
    <w:rsid w:val="5FD14188"/>
    <w:rsid w:val="600B4FBD"/>
    <w:rsid w:val="60194F0D"/>
    <w:rsid w:val="60413CFF"/>
    <w:rsid w:val="61486CD3"/>
    <w:rsid w:val="61824FF8"/>
    <w:rsid w:val="639E7AD2"/>
    <w:rsid w:val="64A53BC3"/>
    <w:rsid w:val="663F14FE"/>
    <w:rsid w:val="66923269"/>
    <w:rsid w:val="66E96F94"/>
    <w:rsid w:val="67192AF4"/>
    <w:rsid w:val="67202F1B"/>
    <w:rsid w:val="678C6FAF"/>
    <w:rsid w:val="67AB6E2C"/>
    <w:rsid w:val="67CE2B39"/>
    <w:rsid w:val="67FD51CC"/>
    <w:rsid w:val="688A2788"/>
    <w:rsid w:val="68C80434"/>
    <w:rsid w:val="6930094D"/>
    <w:rsid w:val="69727081"/>
    <w:rsid w:val="69961435"/>
    <w:rsid w:val="69AB58DC"/>
    <w:rsid w:val="69FC2B43"/>
    <w:rsid w:val="6A2456B3"/>
    <w:rsid w:val="6A2B4273"/>
    <w:rsid w:val="6A3C256F"/>
    <w:rsid w:val="6A913A75"/>
    <w:rsid w:val="6AB73D58"/>
    <w:rsid w:val="6AC62A86"/>
    <w:rsid w:val="6B564736"/>
    <w:rsid w:val="6BDF3567"/>
    <w:rsid w:val="6C2C6080"/>
    <w:rsid w:val="6C320489"/>
    <w:rsid w:val="6C42002E"/>
    <w:rsid w:val="6C5276AE"/>
    <w:rsid w:val="6CCE142F"/>
    <w:rsid w:val="6D0B6D0F"/>
    <w:rsid w:val="6E9C0605"/>
    <w:rsid w:val="6EB5235D"/>
    <w:rsid w:val="6EE461DC"/>
    <w:rsid w:val="6F5E4C5C"/>
    <w:rsid w:val="6F9F33ED"/>
    <w:rsid w:val="6FF9096F"/>
    <w:rsid w:val="70100B90"/>
    <w:rsid w:val="70497201"/>
    <w:rsid w:val="707470BA"/>
    <w:rsid w:val="713C0B14"/>
    <w:rsid w:val="716360A0"/>
    <w:rsid w:val="71E336B7"/>
    <w:rsid w:val="720E63FB"/>
    <w:rsid w:val="729D04EF"/>
    <w:rsid w:val="72D646DC"/>
    <w:rsid w:val="73887C78"/>
    <w:rsid w:val="73C45CB1"/>
    <w:rsid w:val="74BE2512"/>
    <w:rsid w:val="74BF5CE3"/>
    <w:rsid w:val="74F6547D"/>
    <w:rsid w:val="754A57E0"/>
    <w:rsid w:val="75EB1A91"/>
    <w:rsid w:val="76872831"/>
    <w:rsid w:val="77275DC2"/>
    <w:rsid w:val="77CE6F62"/>
    <w:rsid w:val="77E872FF"/>
    <w:rsid w:val="78434E7D"/>
    <w:rsid w:val="7881765E"/>
    <w:rsid w:val="789A3438"/>
    <w:rsid w:val="79255191"/>
    <w:rsid w:val="792E3438"/>
    <w:rsid w:val="796A5B06"/>
    <w:rsid w:val="79DF2984"/>
    <w:rsid w:val="7A014E87"/>
    <w:rsid w:val="7A4B0019"/>
    <w:rsid w:val="7A5A7CE1"/>
    <w:rsid w:val="7A6772FC"/>
    <w:rsid w:val="7A83142A"/>
    <w:rsid w:val="7AE63DDB"/>
    <w:rsid w:val="7B386745"/>
    <w:rsid w:val="7B892BA7"/>
    <w:rsid w:val="7BE76B37"/>
    <w:rsid w:val="7C433AEA"/>
    <w:rsid w:val="7CC83BA3"/>
    <w:rsid w:val="7DA0067C"/>
    <w:rsid w:val="7EDB024D"/>
    <w:rsid w:val="7F743B6E"/>
    <w:rsid w:val="7F91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4643</Words>
  <Characters>26467</Characters>
  <Lines>220</Lines>
  <Paragraphs>62</Paragraphs>
  <TotalTime>10</TotalTime>
  <ScaleCrop>false</ScaleCrop>
  <LinksUpToDate>false</LinksUpToDate>
  <CharactersWithSpaces>31048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2023-10-10T04:10:00Z</dcterms:created>
  <dc:creator>lenovo</dc:creator>
  <cp:lastModifiedBy>白雨</cp:lastModifiedBy>
  <cp:lastPrinted>2024-04-30T01:59:00Z</cp:lastPrinted>
  <dcterms:modified xsi:type="dcterms:W3CDTF">2024-05-08T00:00:06Z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EB1D543A741E4317BB2CC7DB905C3029_13</vt:lpwstr>
  </property>
</Properties>
</file>