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12" w:lineRule="atLeas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附件3</w:t>
      </w:r>
    </w:p>
    <w:p>
      <w:pPr>
        <w:spacing w:line="360" w:lineRule="auto"/>
        <w:jc w:val="center"/>
        <w:rPr>
          <w:rFonts w:ascii="SimHei" w:hAnsi="SimHei" w:eastAsia="SimHei"/>
          <w:b/>
          <w:spacing w:val="20"/>
          <w:sz w:val="28"/>
          <w:szCs w:val="28"/>
        </w:rPr>
      </w:pPr>
      <w:r>
        <w:rPr>
          <w:rFonts w:hint="eastAsia" w:ascii="SimHei" w:hAnsi="SimHei" w:eastAsia="SimHei"/>
          <w:b/>
          <w:spacing w:val="20"/>
          <w:sz w:val="28"/>
          <w:szCs w:val="28"/>
        </w:rPr>
        <w:t>哈尔滨理工大学硕士专业学位研究生产业导师资格申请表</w:t>
      </w:r>
    </w:p>
    <w:p>
      <w:pPr>
        <w:ind w:left="-141" w:leftChars="-67"/>
        <w:rPr>
          <w:szCs w:val="21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812"/>
        <w:gridCol w:w="1052"/>
        <w:gridCol w:w="269"/>
        <w:gridCol w:w="268"/>
        <w:gridCol w:w="262"/>
        <w:gridCol w:w="747"/>
        <w:gridCol w:w="615"/>
        <w:gridCol w:w="693"/>
        <w:gridCol w:w="659"/>
        <w:gridCol w:w="1399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0" w:type="auto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0" w:type="auto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赵杰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0" w:type="auto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男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1986.04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0" w:type="auto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民族</w:t>
            </w:r>
          </w:p>
        </w:tc>
        <w:tc>
          <w:tcPr>
            <w:tcW w:w="0" w:type="auto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汉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硕士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学位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0" w:type="auto"/>
            <w:gridSpan w:val="1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哈尔滨纽沃斯新材料有限公司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专业技术职称</w:t>
            </w:r>
          </w:p>
        </w:tc>
        <w:tc>
          <w:tcPr>
            <w:tcW w:w="0" w:type="auto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化工工程师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0" w:type="auto"/>
            <w:gridSpan w:val="3"/>
            <w:vAlign w:val="center"/>
          </w:tcPr>
          <w:p>
            <w:pPr>
              <w:jc w:val="both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研发经理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0" w:type="auto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研究生培养基地名称</w:t>
            </w:r>
          </w:p>
        </w:tc>
        <w:tc>
          <w:tcPr>
            <w:tcW w:w="0" w:type="auto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申报专业学位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类别、领域</w:t>
            </w:r>
          </w:p>
        </w:tc>
        <w:tc>
          <w:tcPr>
            <w:tcW w:w="0" w:type="auto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材料与化工、材料工程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研究方向</w:t>
            </w:r>
          </w:p>
        </w:tc>
        <w:tc>
          <w:tcPr>
            <w:tcW w:w="0" w:type="auto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高分子材料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职业资格证书</w:t>
            </w:r>
          </w:p>
        </w:tc>
        <w:tc>
          <w:tcPr>
            <w:tcW w:w="0" w:type="auto"/>
            <w:gridSpan w:val="1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0" w:type="auto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18745837982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E-mail</w:t>
            </w:r>
          </w:p>
        </w:tc>
        <w:tc>
          <w:tcPr>
            <w:tcW w:w="0" w:type="auto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314439891@163.com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0" w:type="auto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主要学习工作经历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8" w:hRule="atLeast"/>
        </w:trPr>
        <w:tc>
          <w:tcPr>
            <w:tcW w:w="0" w:type="auto"/>
            <w:gridSpan w:val="12"/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 w:cs="FangSong"/>
                <w:kern w:val="0"/>
                <w:sz w:val="24"/>
                <w:szCs w:val="24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 w:cs="FangSong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FangSong"/>
                <w:kern w:val="0"/>
                <w:sz w:val="24"/>
                <w:szCs w:val="24"/>
              </w:rPr>
              <w:t>2008年9月-2011年7月 黑龙江大学 有机化学 硕士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 w:cs="FangSong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FangSong"/>
                <w:kern w:val="0"/>
                <w:sz w:val="24"/>
                <w:szCs w:val="24"/>
              </w:rPr>
              <w:t>2004年9月-2008年7月 内蒙古民族大学 材料化学 学士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 w:cs="FangSong"/>
                <w:kern w:val="0"/>
                <w:sz w:val="24"/>
                <w:szCs w:val="24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 w:cs="FangSong"/>
                <w:kern w:val="0"/>
                <w:sz w:val="24"/>
                <w:szCs w:val="24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0" w:type="auto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从事领域与专业特长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5" w:hRule="atLeast"/>
        </w:trPr>
        <w:tc>
          <w:tcPr>
            <w:tcW w:w="0" w:type="auto"/>
            <w:gridSpan w:val="12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在摆渡新材料有限公司和哈尔滨纽沃斯新材料有限公司从事</w:t>
            </w:r>
            <w:r>
              <w:rPr>
                <w:rFonts w:hint="eastAsia" w:ascii="仿宋_GB2312" w:eastAsia="仿宋_GB2312"/>
                <w:sz w:val="24"/>
                <w:szCs w:val="24"/>
              </w:rPr>
              <w:t>从事复合材料的制备及工艺优化，并根据市场需要调控产品相关性能。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0" w:type="auto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主要业绩（论著、科研项目、科研成果、奖励等）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0" w:type="auto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名称</w:t>
            </w:r>
          </w:p>
        </w:tc>
        <w:tc>
          <w:tcPr>
            <w:tcW w:w="0" w:type="auto"/>
            <w:gridSpan w:val="5"/>
            <w:vAlign w:val="center"/>
          </w:tcPr>
          <w:p>
            <w:pPr>
              <w:ind w:lef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发表刊物、项目来源</w:t>
            </w:r>
          </w:p>
        </w:tc>
        <w:tc>
          <w:tcPr>
            <w:tcW w:w="0" w:type="auto"/>
            <w:vAlign w:val="center"/>
          </w:tcPr>
          <w:p>
            <w:pPr>
              <w:ind w:lef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时间</w:t>
            </w:r>
          </w:p>
        </w:tc>
        <w:tc>
          <w:tcPr>
            <w:tcW w:w="0" w:type="auto"/>
            <w:vAlign w:val="center"/>
          </w:tcPr>
          <w:p>
            <w:pPr>
              <w:ind w:left="-123" w:righ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本人</w:t>
            </w:r>
          </w:p>
          <w:p>
            <w:pPr>
              <w:ind w:left="-123" w:righ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</w:trPr>
        <w:tc>
          <w:tcPr>
            <w:tcW w:w="0" w:type="auto"/>
            <w:gridSpan w:val="5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TKD小分子合成</w:t>
            </w:r>
          </w:p>
        </w:tc>
        <w:tc>
          <w:tcPr>
            <w:tcW w:w="0" w:type="auto"/>
            <w:gridSpan w:val="5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未发表刊物、TKD项目外包</w:t>
            </w:r>
          </w:p>
        </w:tc>
        <w:tc>
          <w:tcPr>
            <w:tcW w:w="0" w:type="auto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2011年</w:t>
            </w:r>
          </w:p>
        </w:tc>
        <w:tc>
          <w:tcPr>
            <w:tcW w:w="0" w:type="auto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组员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0" w:type="auto"/>
            <w:gridSpan w:val="5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Bayer</w:t>
            </w:r>
            <w:r>
              <w:rPr>
                <w:rFonts w:hint="eastAsia" w:ascii="仿宋_GB2312" w:eastAsia="仿宋_GB2312"/>
                <w:sz w:val="24"/>
                <w:szCs w:val="24"/>
              </w:rPr>
              <w:t>-分子库合成及筛选</w:t>
            </w:r>
          </w:p>
        </w:tc>
        <w:tc>
          <w:tcPr>
            <w:tcW w:w="0" w:type="auto"/>
            <w:gridSpan w:val="5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未发表刊物、Bayer公司</w:t>
            </w:r>
          </w:p>
        </w:tc>
        <w:tc>
          <w:tcPr>
            <w:tcW w:w="0" w:type="auto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2013年</w:t>
            </w:r>
          </w:p>
        </w:tc>
        <w:tc>
          <w:tcPr>
            <w:tcW w:w="0" w:type="auto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组员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0" w:type="auto"/>
            <w:gridSpan w:val="5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PP</w:t>
            </w:r>
            <w:r>
              <w:rPr>
                <w:rFonts w:hint="eastAsia" w:ascii="仿宋_GB2312" w:eastAsia="仿宋_GB2312"/>
                <w:sz w:val="24"/>
                <w:szCs w:val="24"/>
              </w:rPr>
              <w:t>/PA</w:t>
            </w:r>
            <w:r>
              <w:rPr>
                <w:rFonts w:ascii="仿宋_GB2312" w:eastAsia="仿宋_GB2312"/>
                <w:sz w:val="24"/>
                <w:szCs w:val="24"/>
              </w:rPr>
              <w:t>长玻纤制备及工艺改进</w:t>
            </w:r>
          </w:p>
        </w:tc>
        <w:tc>
          <w:tcPr>
            <w:tcW w:w="0" w:type="auto"/>
            <w:gridSpan w:val="5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未发表刊物、公司自研</w:t>
            </w:r>
          </w:p>
        </w:tc>
        <w:tc>
          <w:tcPr>
            <w:tcW w:w="0" w:type="auto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2014年</w:t>
            </w:r>
          </w:p>
        </w:tc>
        <w:tc>
          <w:tcPr>
            <w:tcW w:w="0" w:type="auto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组员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</w:trPr>
        <w:tc>
          <w:tcPr>
            <w:tcW w:w="0" w:type="auto"/>
            <w:gridSpan w:val="5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（PEEK、POM、PLA、PC/ABS合金）研发项目工艺优化</w:t>
            </w:r>
          </w:p>
        </w:tc>
        <w:tc>
          <w:tcPr>
            <w:tcW w:w="0" w:type="auto"/>
            <w:gridSpan w:val="5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未发表刊物、公司自研</w:t>
            </w:r>
          </w:p>
        </w:tc>
        <w:tc>
          <w:tcPr>
            <w:tcW w:w="0" w:type="auto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2016年</w:t>
            </w:r>
          </w:p>
        </w:tc>
        <w:tc>
          <w:tcPr>
            <w:tcW w:w="0" w:type="auto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组员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0" w:type="auto"/>
            <w:gridSpan w:val="5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LLZTO</w:t>
            </w:r>
            <w:r>
              <w:rPr>
                <w:rFonts w:hint="eastAsia" w:ascii="仿宋_GB2312" w:eastAsia="仿宋_GB2312"/>
                <w:sz w:val="24"/>
                <w:szCs w:val="24"/>
              </w:rPr>
              <w:t>-PEO电解质膜制备工艺优化</w:t>
            </w:r>
          </w:p>
        </w:tc>
        <w:tc>
          <w:tcPr>
            <w:tcW w:w="0" w:type="auto"/>
            <w:gridSpan w:val="5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未发表刊物、公司自研</w:t>
            </w:r>
          </w:p>
        </w:tc>
        <w:tc>
          <w:tcPr>
            <w:tcW w:w="0" w:type="auto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2019年</w:t>
            </w:r>
          </w:p>
        </w:tc>
        <w:tc>
          <w:tcPr>
            <w:tcW w:w="0" w:type="auto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0" w:type="auto"/>
            <w:gridSpan w:val="5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PP</w:t>
            </w:r>
            <w:r>
              <w:rPr>
                <w:rFonts w:hint="eastAsia" w:ascii="仿宋_GB2312" w:eastAsia="仿宋_GB2312"/>
                <w:sz w:val="24"/>
                <w:szCs w:val="24"/>
              </w:rPr>
              <w:t>/PE-石墨烯晶片复合材料制备</w:t>
            </w:r>
          </w:p>
        </w:tc>
        <w:tc>
          <w:tcPr>
            <w:tcW w:w="0" w:type="auto"/>
            <w:gridSpan w:val="5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未发表刊物、公司自研</w:t>
            </w:r>
          </w:p>
        </w:tc>
        <w:tc>
          <w:tcPr>
            <w:tcW w:w="0" w:type="auto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</w:trPr>
        <w:tc>
          <w:tcPr>
            <w:tcW w:w="0" w:type="auto"/>
            <w:gridSpan w:val="5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PP蜂窝板制备工艺</w:t>
            </w:r>
            <w:r>
              <w:rPr>
                <w:rFonts w:hint="eastAsia" w:ascii="仿宋_GB2312" w:eastAsia="仿宋_GB2312"/>
                <w:sz w:val="24"/>
                <w:szCs w:val="24"/>
              </w:rPr>
              <w:t>优化</w:t>
            </w:r>
          </w:p>
        </w:tc>
        <w:tc>
          <w:tcPr>
            <w:tcW w:w="0" w:type="auto"/>
            <w:gridSpan w:val="5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未发表刊物、公司自研</w:t>
            </w:r>
          </w:p>
        </w:tc>
        <w:tc>
          <w:tcPr>
            <w:tcW w:w="0" w:type="auto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2022年</w:t>
            </w:r>
          </w:p>
        </w:tc>
        <w:tc>
          <w:tcPr>
            <w:tcW w:w="0" w:type="auto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0" w:type="auto"/>
            <w:gridSpan w:val="5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T</w:t>
            </w:r>
            <w:r>
              <w:rPr>
                <w:rFonts w:hint="eastAsia" w:ascii="仿宋_GB2312" w:eastAsia="仿宋_GB2312"/>
                <w:sz w:val="24"/>
                <w:szCs w:val="24"/>
              </w:rPr>
              <w:t>w-</w:t>
            </w:r>
            <w:r>
              <w:rPr>
                <w:rFonts w:ascii="仿宋_GB2312" w:eastAsia="仿宋_GB2312"/>
                <w:sz w:val="24"/>
                <w:szCs w:val="24"/>
              </w:rPr>
              <w:t>ZnO制备工艺优化及复合应用</w:t>
            </w:r>
          </w:p>
        </w:tc>
        <w:tc>
          <w:tcPr>
            <w:tcW w:w="0" w:type="auto"/>
            <w:gridSpan w:val="5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未发表刊物、公司自研</w:t>
            </w:r>
          </w:p>
        </w:tc>
        <w:tc>
          <w:tcPr>
            <w:tcW w:w="0" w:type="auto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2023年</w:t>
            </w:r>
          </w:p>
        </w:tc>
        <w:tc>
          <w:tcPr>
            <w:tcW w:w="0" w:type="auto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6" w:hRule="atLeast"/>
        </w:trPr>
        <w:tc>
          <w:tcPr>
            <w:tcW w:w="0" w:type="auto"/>
            <w:gridSpan w:val="12"/>
            <w:vAlign w:val="center"/>
          </w:tcPr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人事（或组织）部门负责人签字：                         </w:t>
            </w:r>
          </w:p>
          <w:p>
            <w:pPr>
              <w:spacing w:line="400" w:lineRule="exact"/>
              <w:ind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公章：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6" w:hRule="atLeast"/>
        </w:trPr>
        <w:tc>
          <w:tcPr>
            <w:tcW w:w="0" w:type="auto"/>
            <w:gridSpan w:val="12"/>
            <w:vAlign w:val="center"/>
          </w:tcPr>
          <w:p>
            <w:pPr>
              <w:spacing w:line="400" w:lineRule="exact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学院学位评定分委员会评议、推荐意见</w:t>
            </w:r>
          </w:p>
          <w:p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主席签字：                         </w:t>
            </w:r>
          </w:p>
          <w:p>
            <w:pPr>
              <w:spacing w:line="400" w:lineRule="exact"/>
              <w:ind w:firstLine="240" w:firstLineChars="10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公章：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8" w:hRule="atLeast"/>
        </w:trPr>
        <w:tc>
          <w:tcPr>
            <w:tcW w:w="0" w:type="auto"/>
            <w:gridSpan w:val="12"/>
            <w:vAlign w:val="center"/>
          </w:tcPr>
          <w:p>
            <w:pPr>
              <w:spacing w:line="400" w:lineRule="exact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校学位评定委员会审批意见</w:t>
            </w:r>
          </w:p>
          <w:p>
            <w:pPr>
              <w:spacing w:line="400" w:lineRule="exact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</w:p>
          <w:p>
            <w:pPr>
              <w:spacing w:line="400" w:lineRule="exact"/>
              <w:ind w:firstLine="720" w:firstLineChars="3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同意聘任，聘期三年。</w:t>
            </w:r>
          </w:p>
          <w:p>
            <w:pPr>
              <w:wordWrap w:val="0"/>
              <w:spacing w:line="400" w:lineRule="exact"/>
              <w:ind w:right="480"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</w:t>
            </w:r>
          </w:p>
          <w:p>
            <w:pPr>
              <w:spacing w:line="400" w:lineRule="exact"/>
              <w:ind w:firstLine="2095" w:firstLineChars="873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公章：            年    月   日</w:t>
            </w:r>
          </w:p>
        </w:tc>
      </w:tr>
    </w:tbl>
    <w:p>
      <w:pPr>
        <w:ind w:left="-141" w:leftChars="-67"/>
        <w:rPr>
          <w:szCs w:val="21"/>
        </w:rPr>
      </w:pPr>
      <w:r>
        <w:rPr>
          <w:rFonts w:hint="eastAsia"/>
          <w:szCs w:val="21"/>
        </w:rPr>
        <w:t>注：此表正反面打印，一式二份，分别存申报学院和校学位评定委员会办公室。</w:t>
      </w:r>
    </w:p>
    <w:sectPr>
      <w:footerReference r:id="rId5" w:type="first"/>
      <w:footerReference r:id="rId3" w:type="default"/>
      <w:footerReference r:id="rId4" w:type="even"/>
      <w:pgSz w:w="11907" w:h="16840"/>
      <w:pgMar w:top="1134" w:right="1514" w:bottom="1134" w:left="1786" w:header="992" w:footer="992" w:gutter="113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ngXian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KaiTi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FangSong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FangSong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aiTi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84432342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0</w: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NjA3ZGUzNTliZDA1OWNlYzA0NjBkYzBjZDM1MmQifQ=="/>
  </w:docVars>
  <w:rsids>
    <w:rsidRoot w:val="00016B67"/>
    <w:rsid w:val="00016B67"/>
    <w:rsid w:val="0006523E"/>
    <w:rsid w:val="000B65A1"/>
    <w:rsid w:val="002A1593"/>
    <w:rsid w:val="002B6418"/>
    <w:rsid w:val="002C1ACD"/>
    <w:rsid w:val="0037456A"/>
    <w:rsid w:val="00404F62"/>
    <w:rsid w:val="00565293"/>
    <w:rsid w:val="005833D1"/>
    <w:rsid w:val="00585179"/>
    <w:rsid w:val="005A646E"/>
    <w:rsid w:val="005B2204"/>
    <w:rsid w:val="00642D51"/>
    <w:rsid w:val="00694B80"/>
    <w:rsid w:val="006F6421"/>
    <w:rsid w:val="00765876"/>
    <w:rsid w:val="007A5A02"/>
    <w:rsid w:val="007C5FBA"/>
    <w:rsid w:val="008321E4"/>
    <w:rsid w:val="00882C2A"/>
    <w:rsid w:val="00883821"/>
    <w:rsid w:val="008F115A"/>
    <w:rsid w:val="00AC33D6"/>
    <w:rsid w:val="00B8612F"/>
    <w:rsid w:val="00C462B1"/>
    <w:rsid w:val="00DE62E2"/>
    <w:rsid w:val="00E42546"/>
    <w:rsid w:val="00E8378D"/>
    <w:rsid w:val="00E93A2A"/>
    <w:rsid w:val="00F54329"/>
    <w:rsid w:val="00F634C9"/>
    <w:rsid w:val="22AB7021"/>
    <w:rsid w:val="289C366A"/>
    <w:rsid w:val="440E3217"/>
    <w:rsid w:val="4FD031F3"/>
    <w:rsid w:val="6A3F7D53"/>
    <w:rsid w:val="6CCA0BE1"/>
    <w:rsid w:val="7D3A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脚 Char"/>
    <w:basedOn w:val="5"/>
    <w:link w:val="2"/>
    <w:autoRedefine/>
    <w:qFormat/>
    <w:uiPriority w:val="99"/>
    <w:rPr>
      <w:rFonts w:ascii="Times New Roman" w:hAnsi="Times New Roman" w:eastAsia="SimSun" w:cs="Times New Roman"/>
      <w:sz w:val="18"/>
      <w:szCs w:val="18"/>
    </w:rPr>
  </w:style>
  <w:style w:type="character" w:customStyle="1" w:styleId="8">
    <w:name w:val="页眉 Char"/>
    <w:basedOn w:val="5"/>
    <w:link w:val="3"/>
    <w:autoRedefine/>
    <w:qFormat/>
    <w:uiPriority w:val="99"/>
    <w:rPr>
      <w:rFonts w:ascii="Times New Roman" w:hAnsi="Times New Roman" w:eastAsia="SimSu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597</Words>
  <Characters>720</Characters>
  <Lines>6</Lines>
  <Paragraphs>1</Paragraphs>
  <TotalTime>20</TotalTime>
  <ScaleCrop>false</ScaleCrop>
  <LinksUpToDate>false</LinksUpToDate>
  <CharactersWithSpaces>862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2024-05-21T09:13:00Z</dcterms:created>
  <dc:creator>yallin</dc:creator>
  <cp:lastModifiedBy>PC</cp:lastModifiedBy>
  <cp:lastPrinted>2021-05-04T01:03:00Z</cp:lastPrinted>
  <dcterms:modified xsi:type="dcterms:W3CDTF">2024-05-24T09:06:29Z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8C6ECAC0CD4D42FEB7FFC49C784B7700_13</vt:lpwstr>
  </property>
</Properties>
</file>